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226" w:type="pct"/>
        <w:tblInd w:w="-5" w:type="dxa"/>
        <w:tblLayout w:type="fixed"/>
        <w:tblLook w:val="04A0" w:firstRow="1" w:lastRow="0" w:firstColumn="1" w:lastColumn="0" w:noHBand="0" w:noVBand="1"/>
      </w:tblPr>
      <w:tblGrid>
        <w:gridCol w:w="4962"/>
        <w:gridCol w:w="5102"/>
      </w:tblGrid>
      <w:tr w:rsidR="004046D6" w:rsidRPr="0029299B" w14:paraId="770A6046" w14:textId="5664A0CB" w:rsidTr="2953A957">
        <w:tc>
          <w:tcPr>
            <w:tcW w:w="2465" w:type="pct"/>
            <w:shd w:val="clear" w:color="auto" w:fill="auto"/>
          </w:tcPr>
          <w:p w14:paraId="7AC3363A" w14:textId="74E57B28" w:rsidR="004046D6" w:rsidRPr="001438F2" w:rsidRDefault="004046D6" w:rsidP="004046D6">
            <w:pPr>
              <w:ind w:right="28"/>
              <w:jc w:val="center"/>
              <w:rPr>
                <w:rFonts w:cs="Arial"/>
                <w:b/>
                <w:sz w:val="28"/>
                <w:szCs w:val="28"/>
                <w:lang w:val="en-US"/>
              </w:rPr>
            </w:pPr>
            <w:r w:rsidRPr="001438F2">
              <w:rPr>
                <w:rFonts w:cs="Arial"/>
                <w:b/>
                <w:sz w:val="28"/>
                <w:szCs w:val="28"/>
                <w:lang w:val="en-US"/>
              </w:rPr>
              <w:t xml:space="preserve">Corporate Responsibility </w:t>
            </w:r>
            <w:r w:rsidRPr="001438F2">
              <w:rPr>
                <w:rFonts w:cs="Arial"/>
                <w:b/>
                <w:sz w:val="28"/>
                <w:szCs w:val="28"/>
                <w:lang w:val="en-US"/>
              </w:rPr>
              <w:br/>
              <w:t>Agreement</w:t>
            </w:r>
          </w:p>
          <w:p w14:paraId="76A9DEDE" w14:textId="77777777" w:rsidR="004046D6" w:rsidRPr="006F3466" w:rsidRDefault="004046D6" w:rsidP="004046D6">
            <w:pPr>
              <w:ind w:right="28"/>
              <w:jc w:val="center"/>
              <w:rPr>
                <w:rFonts w:cs="Arial"/>
                <w:lang w:val="en-US"/>
              </w:rPr>
            </w:pPr>
            <w:r w:rsidRPr="006F3466">
              <w:rPr>
                <w:rFonts w:cs="Arial"/>
                <w:lang w:val="en-US"/>
              </w:rPr>
              <w:t>between</w:t>
            </w:r>
          </w:p>
          <w:p w14:paraId="0B574D31" w14:textId="158B2FD8" w:rsidR="004046D6" w:rsidRPr="006F3466" w:rsidRDefault="004046D6" w:rsidP="004046D6">
            <w:pPr>
              <w:ind w:right="28"/>
              <w:jc w:val="left"/>
              <w:rPr>
                <w:rFonts w:cs="Arial"/>
                <w:b/>
                <w:lang w:val="en-US"/>
              </w:rPr>
            </w:pPr>
            <w:r w:rsidRPr="006F3466">
              <w:rPr>
                <w:rFonts w:cs="Arial"/>
                <w:b/>
                <w:lang w:val="en-US"/>
              </w:rPr>
              <w:t>company name:</w:t>
            </w:r>
          </w:p>
          <w:p w14:paraId="37B0FD20" w14:textId="56DC9F36" w:rsidR="004046D6" w:rsidRPr="006F3466" w:rsidRDefault="004046D6" w:rsidP="004046D6">
            <w:pPr>
              <w:ind w:right="28"/>
              <w:jc w:val="left"/>
              <w:rPr>
                <w:rFonts w:cs="Arial"/>
                <w:b/>
                <w:highlight w:val="yellow"/>
                <w:lang w:val="en-US"/>
              </w:rPr>
            </w:pPr>
            <w:r w:rsidRPr="006F3466">
              <w:rPr>
                <w:rFonts w:cs="Arial"/>
                <w:b/>
                <w:lang w:val="en-US"/>
              </w:rPr>
              <w:t>address:</w:t>
            </w:r>
            <w:r w:rsidRPr="006F3466">
              <w:rPr>
                <w:rFonts w:cs="Arial"/>
                <w:b/>
                <w:lang w:val="en-US"/>
              </w:rPr>
              <w:br/>
              <w:t>register number:</w:t>
            </w:r>
          </w:p>
          <w:p w14:paraId="1BEB743E" w14:textId="17B7320F" w:rsidR="004046D6" w:rsidRPr="006F3466" w:rsidRDefault="004046D6" w:rsidP="004046D6">
            <w:pPr>
              <w:ind w:right="28"/>
              <w:jc w:val="center"/>
              <w:rPr>
                <w:rFonts w:cs="Arial"/>
                <w:b/>
                <w:lang w:val="en-US"/>
              </w:rPr>
            </w:pPr>
            <w:r w:rsidRPr="006F3466">
              <w:rPr>
                <w:rFonts w:cs="Arial"/>
                <w:lang w:val="en-US"/>
              </w:rPr>
              <w:t>- hereinafter referred to as „</w:t>
            </w:r>
            <w:r w:rsidRPr="006F3466">
              <w:rPr>
                <w:rFonts w:cs="Arial"/>
                <w:b/>
                <w:bCs/>
                <w:lang w:val="en-US"/>
              </w:rPr>
              <w:t>Supplier</w:t>
            </w:r>
            <w:r w:rsidRPr="006F3466">
              <w:rPr>
                <w:rFonts w:cs="Arial"/>
                <w:lang w:val="en-US"/>
              </w:rPr>
              <w:t>” or „</w:t>
            </w:r>
            <w:r w:rsidRPr="006F3466">
              <w:rPr>
                <w:rFonts w:cs="Arial"/>
                <w:b/>
                <w:bCs/>
                <w:lang w:val="en-US"/>
              </w:rPr>
              <w:t>Contractor</w:t>
            </w:r>
            <w:r w:rsidRPr="006F3466">
              <w:rPr>
                <w:rFonts w:cs="Arial"/>
                <w:lang w:val="en-US"/>
              </w:rPr>
              <w:t>”-</w:t>
            </w:r>
          </w:p>
          <w:p w14:paraId="32D72A2B" w14:textId="77777777" w:rsidR="004046D6" w:rsidRPr="006F3466" w:rsidRDefault="004046D6" w:rsidP="004046D6">
            <w:pPr>
              <w:ind w:right="28"/>
              <w:jc w:val="center"/>
              <w:rPr>
                <w:rFonts w:cs="Arial"/>
                <w:lang w:val="en-GB"/>
              </w:rPr>
            </w:pPr>
          </w:p>
          <w:p w14:paraId="03797D94" w14:textId="77777777" w:rsidR="004046D6" w:rsidRPr="006F3466" w:rsidRDefault="004046D6" w:rsidP="004046D6">
            <w:pPr>
              <w:ind w:right="28"/>
              <w:jc w:val="center"/>
              <w:rPr>
                <w:rFonts w:cs="Arial"/>
              </w:rPr>
            </w:pPr>
            <w:r w:rsidRPr="006F3466">
              <w:rPr>
                <w:rFonts w:cs="Arial"/>
              </w:rPr>
              <w:t>and</w:t>
            </w:r>
          </w:p>
          <w:p w14:paraId="546F0BB3" w14:textId="6A0832F4" w:rsidR="004046D6" w:rsidRPr="006F3466" w:rsidRDefault="004046D6" w:rsidP="004046D6">
            <w:pPr>
              <w:ind w:right="28"/>
              <w:jc w:val="center"/>
              <w:rPr>
                <w:rFonts w:cs="Arial"/>
                <w:b/>
                <w:i/>
                <w:iCs/>
              </w:rPr>
            </w:pPr>
            <w:r w:rsidRPr="006F3466">
              <w:rPr>
                <w:rFonts w:cs="Arial"/>
                <w:b/>
                <w:i/>
                <w:iCs/>
              </w:rPr>
              <w:t>ERGO Insurance SE (including its branches in Latvia and Lithuania)</w:t>
            </w:r>
          </w:p>
          <w:p w14:paraId="4320C3EB" w14:textId="57979BBF" w:rsidR="004046D6" w:rsidRPr="006F3466" w:rsidRDefault="004046D6" w:rsidP="004046D6">
            <w:pPr>
              <w:ind w:right="28"/>
              <w:jc w:val="center"/>
              <w:rPr>
                <w:rFonts w:cs="Arial"/>
                <w:b/>
                <w:i/>
                <w:iCs/>
              </w:rPr>
            </w:pPr>
            <w:r w:rsidRPr="006F3466">
              <w:rPr>
                <w:rFonts w:cs="Arial"/>
                <w:b/>
                <w:i/>
                <w:iCs/>
              </w:rPr>
              <w:t>Veskiposti 2/1,</w:t>
            </w:r>
          </w:p>
          <w:p w14:paraId="5B08EBCE" w14:textId="6E3ED7CF" w:rsidR="004046D6" w:rsidRPr="006F3466" w:rsidRDefault="004046D6" w:rsidP="004046D6">
            <w:pPr>
              <w:ind w:right="28"/>
              <w:jc w:val="center"/>
              <w:rPr>
                <w:rFonts w:cs="Arial"/>
                <w:b/>
                <w:i/>
                <w:iCs/>
              </w:rPr>
            </w:pPr>
            <w:r w:rsidRPr="006F3466">
              <w:rPr>
                <w:rFonts w:cs="Arial"/>
                <w:b/>
                <w:i/>
                <w:iCs/>
              </w:rPr>
              <w:t>10138 Tallinn</w:t>
            </w:r>
          </w:p>
          <w:p w14:paraId="004B2B16" w14:textId="77777777" w:rsidR="004046D6" w:rsidRPr="006F3466" w:rsidRDefault="004046D6" w:rsidP="004046D6">
            <w:pPr>
              <w:pStyle w:val="Style20ptCentered"/>
              <w:ind w:right="28"/>
              <w:rPr>
                <w:rFonts w:cs="Arial"/>
                <w:b/>
                <w:i/>
                <w:iCs/>
                <w:sz w:val="20"/>
              </w:rPr>
            </w:pPr>
            <w:r w:rsidRPr="004F1EC1">
              <w:rPr>
                <w:rFonts w:cs="Arial"/>
                <w:i/>
                <w:iCs/>
                <w:sz w:val="20"/>
              </w:rPr>
              <w:t>(Reg. No. 10017013)</w:t>
            </w:r>
          </w:p>
          <w:p w14:paraId="1D94FE64" w14:textId="77777777" w:rsidR="004046D6" w:rsidRPr="006F3466" w:rsidRDefault="004046D6" w:rsidP="004046D6">
            <w:pPr>
              <w:ind w:right="28"/>
              <w:jc w:val="center"/>
              <w:rPr>
                <w:rFonts w:cs="Arial"/>
                <w:i/>
                <w:iCs/>
              </w:rPr>
            </w:pPr>
            <w:r w:rsidRPr="006F3466">
              <w:rPr>
                <w:rFonts w:cs="Arial"/>
                <w:i/>
                <w:iCs/>
              </w:rPr>
              <w:t>/</w:t>
            </w:r>
          </w:p>
          <w:p w14:paraId="77F00CE1" w14:textId="77777777" w:rsidR="004046D6" w:rsidRPr="006F3466" w:rsidRDefault="004046D6" w:rsidP="004046D6">
            <w:pPr>
              <w:ind w:right="28"/>
              <w:jc w:val="center"/>
              <w:rPr>
                <w:rFonts w:cs="Arial"/>
                <w:b/>
                <w:i/>
                <w:iCs/>
              </w:rPr>
            </w:pPr>
            <w:r w:rsidRPr="006F3466">
              <w:rPr>
                <w:rFonts w:cs="Arial"/>
                <w:b/>
                <w:i/>
                <w:iCs/>
              </w:rPr>
              <w:t>ERGO Life Insurance SE (including its branches in Latvia and Estonia)</w:t>
            </w:r>
          </w:p>
          <w:p w14:paraId="411F0817" w14:textId="72ECC31A" w:rsidR="004046D6" w:rsidRPr="004F1EC1" w:rsidRDefault="004046D6" w:rsidP="2953A957">
            <w:pPr>
              <w:ind w:right="28"/>
              <w:jc w:val="center"/>
              <w:rPr>
                <w:rFonts w:cs="Arial"/>
                <w:b/>
                <w:bCs/>
                <w:i/>
                <w:iCs/>
              </w:rPr>
            </w:pPr>
            <w:r w:rsidRPr="2953A957">
              <w:rPr>
                <w:rFonts w:cs="Arial"/>
                <w:b/>
                <w:bCs/>
                <w:i/>
                <w:iCs/>
              </w:rPr>
              <w:t>Geležinio Vilko str. 6A03507 Vilnius</w:t>
            </w:r>
          </w:p>
          <w:p w14:paraId="5E8636D1" w14:textId="77777777" w:rsidR="004046D6" w:rsidRPr="004F1EC1" w:rsidRDefault="004046D6" w:rsidP="004046D6">
            <w:pPr>
              <w:pStyle w:val="Style20ptCentered"/>
              <w:ind w:right="28"/>
              <w:rPr>
                <w:rFonts w:cs="Arial"/>
                <w:i/>
                <w:iCs/>
                <w:sz w:val="20"/>
              </w:rPr>
            </w:pPr>
            <w:r w:rsidRPr="004F1EC1">
              <w:rPr>
                <w:rFonts w:cs="Arial"/>
                <w:i/>
                <w:iCs/>
                <w:sz w:val="20"/>
              </w:rPr>
              <w:t>(Reg. No. 110707135)</w:t>
            </w:r>
          </w:p>
          <w:p w14:paraId="5DF1CF4F" w14:textId="77777777" w:rsidR="004046D6" w:rsidRPr="006F3466" w:rsidRDefault="004046D6" w:rsidP="004046D6">
            <w:pPr>
              <w:pStyle w:val="Style20ptCentered"/>
              <w:ind w:right="28"/>
              <w:rPr>
                <w:rFonts w:cs="Arial"/>
                <w:i/>
                <w:iCs/>
                <w:sz w:val="20"/>
                <w:lang w:val="en-US"/>
              </w:rPr>
            </w:pPr>
            <w:r>
              <w:rPr>
                <w:rFonts w:cs="Arial"/>
                <w:i/>
                <w:iCs/>
                <w:sz w:val="20"/>
                <w:lang w:val="en-US"/>
              </w:rPr>
              <w:t>[</w:t>
            </w:r>
            <w:r w:rsidRPr="006F3466">
              <w:rPr>
                <w:rFonts w:cs="Arial"/>
                <w:i/>
                <w:iCs/>
                <w:sz w:val="20"/>
                <w:highlight w:val="lightGray"/>
                <w:lang w:val="en-US"/>
              </w:rPr>
              <w:t>Please leave only ERGO Insurance SE or ERGO Life Insurance SE depending on with whom the agreement is concluding</w:t>
            </w:r>
            <w:r>
              <w:rPr>
                <w:rFonts w:cs="Arial"/>
                <w:i/>
                <w:iCs/>
                <w:sz w:val="20"/>
                <w:lang w:val="en-US"/>
              </w:rPr>
              <w:t>]</w:t>
            </w:r>
          </w:p>
          <w:p w14:paraId="20AAEC4F" w14:textId="77777777" w:rsidR="004046D6" w:rsidRPr="006F3466" w:rsidRDefault="004046D6" w:rsidP="004046D6">
            <w:pPr>
              <w:pStyle w:val="Style20ptCentered"/>
              <w:ind w:right="28"/>
              <w:rPr>
                <w:rFonts w:cs="Arial"/>
                <w:sz w:val="20"/>
                <w:lang w:val="en-US"/>
              </w:rPr>
            </w:pPr>
          </w:p>
          <w:p w14:paraId="583847AC" w14:textId="77777777" w:rsidR="004046D6" w:rsidRPr="006F3466" w:rsidRDefault="004046D6" w:rsidP="004046D6">
            <w:pPr>
              <w:pStyle w:val="Style20ptCentered"/>
              <w:numPr>
                <w:ilvl w:val="0"/>
                <w:numId w:val="25"/>
              </w:numPr>
              <w:tabs>
                <w:tab w:val="left" w:pos="318"/>
              </w:tabs>
              <w:ind w:left="0" w:right="28" w:firstLine="0"/>
              <w:rPr>
                <w:rFonts w:cs="Arial"/>
                <w:sz w:val="20"/>
                <w:lang w:val="en-US"/>
              </w:rPr>
            </w:pPr>
            <w:r w:rsidRPr="006F3466">
              <w:rPr>
                <w:rFonts w:cs="Arial"/>
                <w:sz w:val="20"/>
                <w:lang w:val="en-US"/>
              </w:rPr>
              <w:t>hereinafter referred to as „</w:t>
            </w:r>
            <w:r w:rsidRPr="006F3466">
              <w:rPr>
                <w:rFonts w:cs="Arial"/>
                <w:b/>
                <w:bCs/>
                <w:sz w:val="20"/>
                <w:lang w:val="en-US"/>
              </w:rPr>
              <w:t>ERGO</w:t>
            </w:r>
            <w:r w:rsidRPr="006F3466">
              <w:rPr>
                <w:rFonts w:cs="Arial"/>
                <w:sz w:val="20"/>
                <w:lang w:val="en-US"/>
              </w:rPr>
              <w:t>“ -</w:t>
            </w:r>
          </w:p>
          <w:p w14:paraId="5F205930" w14:textId="7FE62504" w:rsidR="004046D6" w:rsidRPr="00854BF5" w:rsidRDefault="004046D6" w:rsidP="004046D6">
            <w:pPr>
              <w:ind w:right="28"/>
              <w:jc w:val="center"/>
              <w:rPr>
                <w:sz w:val="22"/>
                <w:szCs w:val="22"/>
                <w:lang w:val="en-US"/>
              </w:rPr>
            </w:pPr>
            <w:r w:rsidRPr="006F3466">
              <w:rPr>
                <w:rFonts w:cs="Arial"/>
                <w:lang w:val="en-US"/>
              </w:rPr>
              <w:t>both individually or collectively hereinafter referred to as “the contracting parties”</w:t>
            </w:r>
          </w:p>
        </w:tc>
        <w:tc>
          <w:tcPr>
            <w:tcW w:w="2535" w:type="pct"/>
          </w:tcPr>
          <w:p w14:paraId="09BDC256" w14:textId="77777777" w:rsidR="004046D6" w:rsidRPr="001438F2" w:rsidRDefault="004046D6" w:rsidP="004046D6">
            <w:pPr>
              <w:jc w:val="center"/>
              <w:rPr>
                <w:rFonts w:cs="Arial"/>
                <w:b/>
                <w:sz w:val="28"/>
                <w:szCs w:val="28"/>
                <w:lang w:val="en-US"/>
              </w:rPr>
            </w:pPr>
            <w:r w:rsidRPr="001438F2">
              <w:rPr>
                <w:rFonts w:cs="Arial"/>
                <w:b/>
                <w:sz w:val="28"/>
                <w:szCs w:val="28"/>
                <w:lang w:bidi="et-EE"/>
              </w:rPr>
              <w:t xml:space="preserve">Vastutustundliku ettevõtluse </w:t>
            </w:r>
            <w:r w:rsidRPr="001438F2">
              <w:rPr>
                <w:rFonts w:cs="Arial"/>
                <w:b/>
                <w:sz w:val="28"/>
                <w:szCs w:val="28"/>
                <w:lang w:bidi="et-EE"/>
              </w:rPr>
              <w:br/>
              <w:t>kokkulepe</w:t>
            </w:r>
          </w:p>
          <w:p w14:paraId="4FD522DA" w14:textId="77777777" w:rsidR="004046D6" w:rsidRPr="006F3466" w:rsidRDefault="004046D6" w:rsidP="004046D6">
            <w:pPr>
              <w:jc w:val="center"/>
              <w:rPr>
                <w:rFonts w:cs="Arial"/>
                <w:lang w:val="en-US"/>
              </w:rPr>
            </w:pPr>
            <w:r w:rsidRPr="006F3466">
              <w:rPr>
                <w:rFonts w:cs="Arial"/>
                <w:lang w:bidi="et-EE"/>
              </w:rPr>
              <w:t>järgmiste poolte vahel</w:t>
            </w:r>
          </w:p>
          <w:p w14:paraId="3EA6D538" w14:textId="77777777" w:rsidR="004046D6" w:rsidRPr="006F3466" w:rsidRDefault="004046D6" w:rsidP="004046D6">
            <w:pPr>
              <w:rPr>
                <w:rFonts w:cs="Arial"/>
                <w:b/>
                <w:lang w:val="en-US"/>
              </w:rPr>
            </w:pPr>
            <w:r w:rsidRPr="006F3466">
              <w:rPr>
                <w:rFonts w:cs="Arial"/>
                <w:b/>
                <w:lang w:bidi="et-EE"/>
              </w:rPr>
              <w:t xml:space="preserve">ettevõtte nimi: </w:t>
            </w:r>
          </w:p>
          <w:p w14:paraId="214E9EE3" w14:textId="77777777" w:rsidR="004046D6" w:rsidRPr="006F3466" w:rsidRDefault="004046D6" w:rsidP="004046D6">
            <w:pPr>
              <w:rPr>
                <w:rFonts w:cs="Arial"/>
                <w:b/>
                <w:lang w:val="en-US"/>
              </w:rPr>
            </w:pPr>
            <w:r w:rsidRPr="006F3466">
              <w:rPr>
                <w:rFonts w:cs="Arial"/>
                <w:b/>
                <w:lang w:bidi="et-EE"/>
              </w:rPr>
              <w:t>aadress</w:t>
            </w:r>
            <w:r w:rsidRPr="006F3466">
              <w:rPr>
                <w:rFonts w:cs="Arial"/>
                <w:lang w:bidi="et-EE"/>
              </w:rPr>
              <w:t>:</w:t>
            </w:r>
            <w:r w:rsidRPr="006F3466">
              <w:rPr>
                <w:rFonts w:cs="Arial"/>
                <w:b/>
                <w:lang w:bidi="et-EE"/>
              </w:rPr>
              <w:br/>
            </w:r>
          </w:p>
          <w:p w14:paraId="60322043" w14:textId="77777777" w:rsidR="004046D6" w:rsidRPr="006F3466" w:rsidRDefault="004046D6" w:rsidP="004046D6">
            <w:pPr>
              <w:rPr>
                <w:rFonts w:cs="Arial"/>
                <w:b/>
                <w:highlight w:val="yellow"/>
                <w:lang w:val="en-US"/>
              </w:rPr>
            </w:pPr>
            <w:r w:rsidRPr="006F3466">
              <w:rPr>
                <w:rFonts w:cs="Arial"/>
                <w:b/>
                <w:lang w:bidi="et-EE"/>
              </w:rPr>
              <w:t>registrikood:</w:t>
            </w:r>
          </w:p>
          <w:p w14:paraId="7E0C9436" w14:textId="77777777" w:rsidR="004046D6" w:rsidRPr="006F3466" w:rsidRDefault="004046D6" w:rsidP="004046D6">
            <w:pPr>
              <w:jc w:val="center"/>
              <w:rPr>
                <w:rFonts w:cs="Arial"/>
                <w:b/>
                <w:lang w:val="en-US"/>
              </w:rPr>
            </w:pPr>
            <w:r w:rsidRPr="006F3466">
              <w:rPr>
                <w:rFonts w:cs="Arial"/>
                <w:lang w:bidi="et-EE"/>
              </w:rPr>
              <w:t xml:space="preserve">- edaspidi </w:t>
            </w:r>
            <w:r w:rsidRPr="006F3466">
              <w:rPr>
                <w:rFonts w:cs="Arial"/>
                <w:b/>
                <w:lang w:bidi="et-EE"/>
              </w:rPr>
              <w:t>tarnija</w:t>
            </w:r>
            <w:r w:rsidRPr="006F3466">
              <w:rPr>
                <w:rFonts w:cs="Arial"/>
                <w:lang w:bidi="et-EE"/>
              </w:rPr>
              <w:t xml:space="preserve"> või </w:t>
            </w:r>
            <w:r w:rsidRPr="006F3466">
              <w:rPr>
                <w:rFonts w:cs="Arial"/>
                <w:b/>
                <w:lang w:bidi="et-EE"/>
              </w:rPr>
              <w:t>töövõtja</w:t>
            </w:r>
            <w:r w:rsidRPr="006F3466">
              <w:rPr>
                <w:rFonts w:cs="Arial"/>
                <w:lang w:bidi="et-EE"/>
              </w:rPr>
              <w:t xml:space="preserve"> -  </w:t>
            </w:r>
          </w:p>
          <w:p w14:paraId="439ECEB5" w14:textId="77777777" w:rsidR="004046D6" w:rsidRPr="006F3466" w:rsidRDefault="004046D6" w:rsidP="004046D6">
            <w:pPr>
              <w:jc w:val="center"/>
              <w:rPr>
                <w:rFonts w:cs="Arial"/>
                <w:lang w:val="en-GB"/>
              </w:rPr>
            </w:pPr>
          </w:p>
          <w:p w14:paraId="3E6CCF98" w14:textId="77777777" w:rsidR="004046D6" w:rsidRPr="006F3466" w:rsidRDefault="004046D6" w:rsidP="004046D6">
            <w:pPr>
              <w:jc w:val="center"/>
              <w:rPr>
                <w:rFonts w:cs="Arial"/>
              </w:rPr>
            </w:pPr>
            <w:r w:rsidRPr="006F3466">
              <w:rPr>
                <w:rFonts w:cs="Arial"/>
                <w:lang w:bidi="et-EE"/>
              </w:rPr>
              <w:t>ja</w:t>
            </w:r>
          </w:p>
          <w:p w14:paraId="6F64CBE3" w14:textId="77777777" w:rsidR="004046D6" w:rsidRPr="006F3466" w:rsidRDefault="004046D6" w:rsidP="004046D6">
            <w:pPr>
              <w:jc w:val="center"/>
              <w:rPr>
                <w:rFonts w:cs="Arial"/>
                <w:b/>
                <w:i/>
                <w:iCs/>
              </w:rPr>
            </w:pPr>
            <w:r w:rsidRPr="006F3466">
              <w:rPr>
                <w:rFonts w:cs="Arial"/>
                <w:b/>
                <w:i/>
                <w:lang w:bidi="et-EE"/>
              </w:rPr>
              <w:t xml:space="preserve">ERGO Insurance SE (sh filiaalid Lätis ja Leedus) </w:t>
            </w:r>
          </w:p>
          <w:p w14:paraId="08EEC339" w14:textId="77777777" w:rsidR="004046D6" w:rsidRPr="006F3466" w:rsidRDefault="004046D6" w:rsidP="004046D6">
            <w:pPr>
              <w:jc w:val="center"/>
              <w:rPr>
                <w:rFonts w:cs="Arial"/>
                <w:b/>
                <w:i/>
                <w:iCs/>
              </w:rPr>
            </w:pPr>
            <w:r w:rsidRPr="006F3466">
              <w:rPr>
                <w:rFonts w:cs="Arial"/>
                <w:b/>
                <w:i/>
                <w:lang w:bidi="et-EE"/>
              </w:rPr>
              <w:t xml:space="preserve">Veskiposti 2/1, </w:t>
            </w:r>
          </w:p>
          <w:p w14:paraId="4AC409A5" w14:textId="77777777" w:rsidR="004046D6" w:rsidRPr="006F3466" w:rsidRDefault="004046D6" w:rsidP="004046D6">
            <w:pPr>
              <w:jc w:val="center"/>
              <w:rPr>
                <w:rFonts w:cs="Arial"/>
                <w:b/>
                <w:i/>
                <w:iCs/>
              </w:rPr>
            </w:pPr>
            <w:r w:rsidRPr="006F3466">
              <w:rPr>
                <w:rFonts w:cs="Arial"/>
                <w:b/>
                <w:i/>
                <w:lang w:bidi="et-EE"/>
              </w:rPr>
              <w:t xml:space="preserve">10138 Tallinn </w:t>
            </w:r>
          </w:p>
          <w:p w14:paraId="5DB2D1A9" w14:textId="77777777" w:rsidR="004046D6" w:rsidRPr="006F3466" w:rsidRDefault="004046D6" w:rsidP="004046D6">
            <w:pPr>
              <w:pStyle w:val="Style20ptCentered"/>
              <w:rPr>
                <w:rFonts w:cs="Arial"/>
                <w:b/>
                <w:i/>
                <w:iCs/>
                <w:sz w:val="20"/>
              </w:rPr>
            </w:pPr>
            <w:r w:rsidRPr="006F3466">
              <w:rPr>
                <w:rFonts w:cs="Arial"/>
                <w:i/>
                <w:sz w:val="20"/>
                <w:lang w:bidi="et-EE"/>
              </w:rPr>
              <w:t>(rg-kood 10017013)</w:t>
            </w:r>
          </w:p>
          <w:p w14:paraId="75404696" w14:textId="142CCC36" w:rsidR="005B0001" w:rsidRDefault="004046D6" w:rsidP="005B0001">
            <w:pPr>
              <w:jc w:val="center"/>
              <w:rPr>
                <w:rFonts w:cs="Arial"/>
                <w:i/>
                <w:lang w:bidi="et-EE"/>
              </w:rPr>
            </w:pPr>
            <w:r w:rsidRPr="006F3466">
              <w:rPr>
                <w:rFonts w:cs="Arial"/>
                <w:i/>
                <w:lang w:bidi="et-EE"/>
              </w:rPr>
              <w:t>/</w:t>
            </w:r>
          </w:p>
          <w:p w14:paraId="7EB53A59" w14:textId="77777777" w:rsidR="005B0001" w:rsidRPr="005B0001" w:rsidRDefault="005B0001" w:rsidP="005B0001">
            <w:pPr>
              <w:jc w:val="center"/>
              <w:rPr>
                <w:rFonts w:cs="Arial"/>
                <w:i/>
                <w:lang w:bidi="et-EE"/>
              </w:rPr>
            </w:pPr>
          </w:p>
          <w:p w14:paraId="2A631E4B" w14:textId="5043C4C4" w:rsidR="004046D6" w:rsidRPr="006F3466" w:rsidRDefault="004046D6" w:rsidP="2953A957">
            <w:pPr>
              <w:jc w:val="center"/>
              <w:rPr>
                <w:rFonts w:cs="Arial"/>
                <w:b/>
                <w:bCs/>
                <w:i/>
                <w:iCs/>
              </w:rPr>
            </w:pPr>
            <w:r w:rsidRPr="2953A957">
              <w:rPr>
                <w:rFonts w:cs="Arial"/>
                <w:b/>
                <w:bCs/>
                <w:i/>
                <w:iCs/>
                <w:lang w:bidi="et-EE"/>
              </w:rPr>
              <w:t xml:space="preserve">ERGO </w:t>
            </w:r>
            <w:r w:rsidR="40740D39" w:rsidRPr="2953A957">
              <w:rPr>
                <w:rFonts w:cs="Arial"/>
                <w:b/>
                <w:bCs/>
                <w:i/>
                <w:iCs/>
                <w:lang w:bidi="et-EE"/>
              </w:rPr>
              <w:t xml:space="preserve">Life </w:t>
            </w:r>
            <w:r w:rsidRPr="2953A957">
              <w:rPr>
                <w:rFonts w:cs="Arial"/>
                <w:b/>
                <w:bCs/>
                <w:i/>
                <w:iCs/>
                <w:lang w:bidi="et-EE"/>
              </w:rPr>
              <w:t>Insurance SE (sh filiaalid Lätis ja Eestis)</w:t>
            </w:r>
          </w:p>
          <w:p w14:paraId="5BDFD5EC" w14:textId="46C38EC3" w:rsidR="004046D6" w:rsidRPr="004F1EC1" w:rsidRDefault="004046D6" w:rsidP="2953A957">
            <w:pPr>
              <w:jc w:val="center"/>
              <w:rPr>
                <w:rFonts w:cs="Arial"/>
                <w:b/>
                <w:bCs/>
                <w:i/>
                <w:iCs/>
                <w:lang w:val="it-IT"/>
              </w:rPr>
            </w:pPr>
            <w:r w:rsidRPr="2953A957">
              <w:rPr>
                <w:rFonts w:cs="Arial"/>
                <w:b/>
                <w:bCs/>
                <w:i/>
                <w:iCs/>
                <w:lang w:bidi="et-EE"/>
              </w:rPr>
              <w:t>Geležinio Vilko g. 6A 03507, Vilnius</w:t>
            </w:r>
          </w:p>
          <w:p w14:paraId="351EB20D" w14:textId="77777777" w:rsidR="004046D6" w:rsidRPr="004F1EC1" w:rsidRDefault="004046D6" w:rsidP="004046D6">
            <w:pPr>
              <w:pStyle w:val="Style20ptCentered"/>
              <w:rPr>
                <w:rFonts w:cs="Arial"/>
                <w:i/>
                <w:iCs/>
                <w:sz w:val="20"/>
                <w:lang w:val="it-IT"/>
              </w:rPr>
            </w:pPr>
            <w:r w:rsidRPr="006F3466">
              <w:rPr>
                <w:rFonts w:cs="Arial"/>
                <w:i/>
                <w:sz w:val="20"/>
                <w:lang w:bidi="et-EE"/>
              </w:rPr>
              <w:t>(rg-kood 110707135)</w:t>
            </w:r>
          </w:p>
          <w:p w14:paraId="75A1651A" w14:textId="77777777" w:rsidR="004046D6" w:rsidRPr="004F1EC1" w:rsidRDefault="004046D6" w:rsidP="004046D6">
            <w:pPr>
              <w:pStyle w:val="Style20ptCentered"/>
              <w:rPr>
                <w:rFonts w:cs="Arial"/>
                <w:i/>
                <w:iCs/>
                <w:sz w:val="20"/>
                <w:lang w:val="it-IT"/>
              </w:rPr>
            </w:pPr>
            <w:r>
              <w:rPr>
                <w:rFonts w:cs="Arial"/>
                <w:i/>
                <w:sz w:val="20"/>
                <w:lang w:bidi="et-EE"/>
              </w:rPr>
              <w:t>[</w:t>
            </w:r>
            <w:r>
              <w:rPr>
                <w:rFonts w:cs="Arial"/>
                <w:i/>
                <w:sz w:val="20"/>
                <w:highlight w:val="lightGray"/>
                <w:lang w:bidi="et-EE"/>
              </w:rPr>
              <w:t>Jätta ainult ERGO Insurance SE või ERGO Life Insurance SE, sõltuvalt sellest, kellega kokkulepe sõlmitakse</w:t>
            </w:r>
            <w:r>
              <w:rPr>
                <w:rFonts w:cs="Arial"/>
                <w:i/>
                <w:sz w:val="20"/>
                <w:lang w:bidi="et-EE"/>
              </w:rPr>
              <w:t>]</w:t>
            </w:r>
          </w:p>
          <w:p w14:paraId="4BB0821E" w14:textId="77777777" w:rsidR="004046D6" w:rsidRPr="004F1EC1" w:rsidRDefault="004046D6" w:rsidP="004046D6">
            <w:pPr>
              <w:pStyle w:val="Style20ptCentered"/>
              <w:rPr>
                <w:rFonts w:cs="Arial"/>
                <w:sz w:val="20"/>
                <w:lang w:val="it-IT"/>
              </w:rPr>
            </w:pPr>
          </w:p>
          <w:p w14:paraId="4D7C937C" w14:textId="77777777" w:rsidR="004046D6" w:rsidRPr="006F3466" w:rsidRDefault="004046D6" w:rsidP="004046D6">
            <w:pPr>
              <w:pStyle w:val="Style20ptCentered"/>
              <w:numPr>
                <w:ilvl w:val="0"/>
                <w:numId w:val="25"/>
              </w:numPr>
              <w:rPr>
                <w:rFonts w:cs="Arial"/>
                <w:sz w:val="20"/>
                <w:lang w:val="en-US"/>
              </w:rPr>
            </w:pPr>
            <w:r w:rsidRPr="006F3466">
              <w:rPr>
                <w:rFonts w:cs="Arial"/>
                <w:sz w:val="20"/>
                <w:lang w:bidi="et-EE"/>
              </w:rPr>
              <w:t xml:space="preserve">edaspidi </w:t>
            </w:r>
            <w:r w:rsidRPr="006F3466">
              <w:rPr>
                <w:rFonts w:cs="Arial"/>
                <w:b/>
                <w:sz w:val="20"/>
                <w:lang w:bidi="et-EE"/>
              </w:rPr>
              <w:t>ERGO</w:t>
            </w:r>
            <w:r w:rsidRPr="006F3466">
              <w:rPr>
                <w:rFonts w:cs="Arial"/>
                <w:sz w:val="20"/>
                <w:lang w:bidi="et-EE"/>
              </w:rPr>
              <w:t xml:space="preserve"> -</w:t>
            </w:r>
          </w:p>
          <w:p w14:paraId="6ACB4684" w14:textId="3F32ED0A" w:rsidR="004046D6" w:rsidRPr="001438F2" w:rsidRDefault="004046D6" w:rsidP="004046D6">
            <w:pPr>
              <w:ind w:right="28"/>
              <w:jc w:val="center"/>
              <w:rPr>
                <w:rFonts w:cs="Arial"/>
                <w:b/>
                <w:sz w:val="28"/>
                <w:szCs w:val="28"/>
                <w:lang w:val="en-US"/>
              </w:rPr>
            </w:pPr>
            <w:r w:rsidRPr="006F3466">
              <w:rPr>
                <w:rFonts w:cs="Arial"/>
                <w:lang w:bidi="et-EE"/>
              </w:rPr>
              <w:t>mõlemad eraldi või ühiselt edaspidi „lepingupooled“</w:t>
            </w:r>
          </w:p>
        </w:tc>
      </w:tr>
      <w:tr w:rsidR="004046D6" w:rsidRPr="000B6E47" w14:paraId="4E72773B" w14:textId="6440E86A" w:rsidTr="2953A957">
        <w:tc>
          <w:tcPr>
            <w:tcW w:w="2465" w:type="pct"/>
            <w:shd w:val="clear" w:color="auto" w:fill="auto"/>
          </w:tcPr>
          <w:p w14:paraId="3B3C430C" w14:textId="77777777" w:rsidR="004046D6" w:rsidRPr="00B74180" w:rsidRDefault="004046D6" w:rsidP="004046D6">
            <w:pPr>
              <w:spacing w:before="0" w:line="240" w:lineRule="auto"/>
              <w:rPr>
                <w:b/>
                <w:snapToGrid w:val="0"/>
              </w:rPr>
            </w:pPr>
          </w:p>
          <w:p w14:paraId="1EC1C3B2" w14:textId="25655360" w:rsidR="004046D6" w:rsidRPr="00607594" w:rsidRDefault="004046D6" w:rsidP="004046D6">
            <w:pPr>
              <w:spacing w:before="0" w:line="240" w:lineRule="auto"/>
              <w:rPr>
                <w:b/>
                <w:snapToGrid w:val="0"/>
                <w:lang w:val="en-GB"/>
              </w:rPr>
            </w:pPr>
            <w:r w:rsidRPr="00607594">
              <w:rPr>
                <w:b/>
                <w:snapToGrid w:val="0"/>
                <w:lang w:val="en-GB"/>
              </w:rPr>
              <w:t>1.  Scope, subject matter</w:t>
            </w:r>
          </w:p>
          <w:p w14:paraId="0382E455" w14:textId="77777777" w:rsidR="004046D6" w:rsidRPr="001943EF" w:rsidRDefault="004046D6" w:rsidP="004046D6">
            <w:pPr>
              <w:spacing w:before="0" w:line="240" w:lineRule="auto"/>
              <w:rPr>
                <w:rFonts w:cs="Arial"/>
                <w:lang w:val="en-US"/>
              </w:rPr>
            </w:pPr>
          </w:p>
          <w:p w14:paraId="26329456" w14:textId="510C06A4" w:rsidR="004046D6" w:rsidRPr="008E1AFE" w:rsidRDefault="004046D6" w:rsidP="004046D6">
            <w:pPr>
              <w:spacing w:before="0" w:line="240" w:lineRule="auto"/>
              <w:rPr>
                <w:rFonts w:cs="Arial"/>
                <w:lang w:val="en-US"/>
              </w:rPr>
            </w:pPr>
            <w:r w:rsidRPr="008E1AFE">
              <w:rPr>
                <w:rFonts w:cs="Arial"/>
                <w:lang w:val="en-US"/>
              </w:rPr>
              <w:t xml:space="preserve">The Supplier Code of Conduct </w:t>
            </w:r>
            <w:r>
              <w:rPr>
                <w:rFonts w:cs="Arial"/>
                <w:lang w:val="en-US"/>
              </w:rPr>
              <w:t xml:space="preserve">of Munich Re Group </w:t>
            </w:r>
            <w:r w:rsidRPr="008E1AFE">
              <w:rPr>
                <w:rFonts w:cs="Arial"/>
                <w:lang w:val="en-US"/>
              </w:rPr>
              <w:t>is designed</w:t>
            </w:r>
            <w:r>
              <w:rPr>
                <w:rFonts w:cs="Arial"/>
                <w:lang w:val="en-US"/>
              </w:rPr>
              <w:t xml:space="preserve"> </w:t>
            </w:r>
            <w:r w:rsidRPr="008E1AFE">
              <w:rPr>
                <w:rFonts w:cs="Arial"/>
                <w:lang w:val="en-US"/>
              </w:rPr>
              <w:t xml:space="preserve">to help ensure that all third-party suppliers providing goods and/or services to a Munich Re company and their subsidiaries meet </w:t>
            </w:r>
            <w:r>
              <w:rPr>
                <w:rFonts w:cs="Arial"/>
                <w:lang w:val="en-US"/>
              </w:rPr>
              <w:t>their</w:t>
            </w:r>
            <w:r w:rsidRPr="008E1AFE">
              <w:rPr>
                <w:rFonts w:cs="Arial"/>
                <w:lang w:val="en-US"/>
              </w:rPr>
              <w:t xml:space="preserve"> standards for safe working conditions, fair and respectful treatment of their workforce, ethical business practices, zero tolerance regarding corruption, and protection of the environment.</w:t>
            </w:r>
          </w:p>
          <w:p w14:paraId="6269E40B" w14:textId="77777777" w:rsidR="004046D6" w:rsidRPr="00BB644D" w:rsidRDefault="004046D6" w:rsidP="004046D6">
            <w:pPr>
              <w:pStyle w:val="BodyText"/>
              <w:spacing w:line="240" w:lineRule="auto"/>
              <w:ind w:left="-99"/>
              <w:rPr>
                <w:sz w:val="20"/>
                <w:szCs w:val="20"/>
                <w:lang w:val="en-US"/>
              </w:rPr>
            </w:pPr>
          </w:p>
          <w:p w14:paraId="03C5985A" w14:textId="5F85C6FA" w:rsidR="004046D6" w:rsidRPr="00BB644D" w:rsidRDefault="004046D6" w:rsidP="004046D6">
            <w:pPr>
              <w:spacing w:before="0" w:line="240" w:lineRule="auto"/>
              <w:rPr>
                <w:lang w:val="en-US"/>
              </w:rPr>
            </w:pPr>
            <w:r w:rsidRPr="00BB644D">
              <w:rPr>
                <w:rFonts w:cs="Arial"/>
                <w:lang w:val="en-US"/>
              </w:rPr>
              <w:t xml:space="preserve">This </w:t>
            </w:r>
            <w:r>
              <w:rPr>
                <w:lang w:val="en-US"/>
              </w:rPr>
              <w:t>agreement</w:t>
            </w:r>
            <w:r w:rsidRPr="00BB644D">
              <w:rPr>
                <w:rFonts w:cs="Arial"/>
                <w:lang w:val="en-US"/>
              </w:rPr>
              <w:t xml:space="preserve"> applies to all current and future </w:t>
            </w:r>
            <w:r>
              <w:rPr>
                <w:rFonts w:cs="Arial"/>
                <w:lang w:val="en-US"/>
              </w:rPr>
              <w:t xml:space="preserve">contracts </w:t>
            </w:r>
            <w:r w:rsidRPr="00176362">
              <w:rPr>
                <w:lang w:val="en-US"/>
              </w:rPr>
              <w:t xml:space="preserve">between the supplier and </w:t>
            </w:r>
            <w:r w:rsidRPr="00BB644D">
              <w:rPr>
                <w:rFonts w:cs="Arial"/>
                <w:lang w:val="en-US"/>
              </w:rPr>
              <w:t xml:space="preserve">ERGO Group AG or </w:t>
            </w:r>
            <w:r w:rsidRPr="00BB644D">
              <w:rPr>
                <w:lang w:val="en-US"/>
              </w:rPr>
              <w:t xml:space="preserve">a company affiliated with </w:t>
            </w:r>
            <w:r>
              <w:rPr>
                <w:lang w:val="en-US"/>
              </w:rPr>
              <w:t>it</w:t>
            </w:r>
            <w:r w:rsidRPr="00BB644D">
              <w:rPr>
                <w:lang w:val="en-US"/>
              </w:rPr>
              <w:t xml:space="preserve"> pursuant to Section 15</w:t>
            </w:r>
            <w:r>
              <w:rPr>
                <w:lang w:val="en-US"/>
              </w:rPr>
              <w:t xml:space="preserve"> et seq. of the </w:t>
            </w:r>
            <w:r w:rsidRPr="00176362">
              <w:rPr>
                <w:lang w:val="en-US"/>
              </w:rPr>
              <w:t xml:space="preserve">German Stock Corporation Act </w:t>
            </w:r>
            <w:r>
              <w:rPr>
                <w:lang w:val="en-US"/>
              </w:rPr>
              <w:t>(</w:t>
            </w:r>
            <w:proofErr w:type="spellStart"/>
            <w:r w:rsidRPr="00BB644D">
              <w:rPr>
                <w:lang w:val="en-US"/>
              </w:rPr>
              <w:t>AktG</w:t>
            </w:r>
            <w:proofErr w:type="spellEnd"/>
            <w:r>
              <w:rPr>
                <w:lang w:val="en-US"/>
              </w:rPr>
              <w:t xml:space="preserve">) </w:t>
            </w:r>
            <w:r w:rsidRPr="00971157">
              <w:rPr>
                <w:lang w:val="en-US"/>
              </w:rPr>
              <w:t>(hereinafter collectively referred to as the "ERGO Group")</w:t>
            </w:r>
            <w:r>
              <w:rPr>
                <w:lang w:val="en-US"/>
              </w:rPr>
              <w:t xml:space="preserve"> </w:t>
            </w:r>
            <w:r w:rsidRPr="00937B20">
              <w:rPr>
                <w:rFonts w:cs="Arial"/>
                <w:lang w:val="en-US"/>
              </w:rPr>
              <w:t xml:space="preserve">(including but not limited </w:t>
            </w:r>
            <w:r w:rsidRPr="008F7907">
              <w:rPr>
                <w:rFonts w:cs="Arial"/>
                <w:lang w:val="en-US"/>
              </w:rPr>
              <w:t xml:space="preserve">ERGO Life </w:t>
            </w:r>
            <w:r w:rsidRPr="008F7907">
              <w:rPr>
                <w:rFonts w:cs="Arial"/>
                <w:lang w:val="en-US"/>
              </w:rPr>
              <w:lastRenderedPageBreak/>
              <w:t>Insurance SE (including its branches in Latvia and Estonia)</w:t>
            </w:r>
            <w:r>
              <w:rPr>
                <w:rFonts w:cs="Arial"/>
                <w:lang w:val="en-US"/>
              </w:rPr>
              <w:t xml:space="preserve"> and </w:t>
            </w:r>
            <w:r w:rsidRPr="0095342C">
              <w:rPr>
                <w:rFonts w:cs="Arial"/>
                <w:lang w:val="en-US"/>
              </w:rPr>
              <w:t>ERGO Insurance SE (including its branches in Latvia and Lithuania)</w:t>
            </w:r>
            <w:r>
              <w:rPr>
                <w:rFonts w:cs="Arial"/>
                <w:lang w:val="en-US"/>
              </w:rPr>
              <w:t>)</w:t>
            </w:r>
            <w:r w:rsidRPr="0095342C">
              <w:rPr>
                <w:rFonts w:cs="Arial"/>
                <w:lang w:val="en-US"/>
              </w:rPr>
              <w:t>.</w:t>
            </w:r>
          </w:p>
        </w:tc>
        <w:tc>
          <w:tcPr>
            <w:tcW w:w="2535" w:type="pct"/>
          </w:tcPr>
          <w:p w14:paraId="1FBC6F2D" w14:textId="77777777" w:rsidR="004046D6" w:rsidRPr="00B74180" w:rsidRDefault="004046D6" w:rsidP="004046D6">
            <w:pPr>
              <w:spacing w:before="0" w:line="240" w:lineRule="auto"/>
              <w:rPr>
                <w:b/>
                <w:snapToGrid w:val="0"/>
              </w:rPr>
            </w:pPr>
          </w:p>
          <w:p w14:paraId="1B01E352" w14:textId="77777777" w:rsidR="004046D6" w:rsidRPr="00D11FA4" w:rsidRDefault="004046D6" w:rsidP="004046D6">
            <w:pPr>
              <w:spacing w:before="0" w:line="240" w:lineRule="auto"/>
              <w:rPr>
                <w:b/>
                <w:snapToGrid w:val="0"/>
              </w:rPr>
            </w:pPr>
            <w:r w:rsidRPr="00607594">
              <w:rPr>
                <w:b/>
                <w:snapToGrid w:val="0"/>
                <w:lang w:bidi="et-EE"/>
              </w:rPr>
              <w:t>1.  Kohaldamisala, objekt</w:t>
            </w:r>
          </w:p>
          <w:p w14:paraId="327A8FB1" w14:textId="77777777" w:rsidR="004046D6" w:rsidRPr="00D11FA4" w:rsidRDefault="004046D6" w:rsidP="004046D6">
            <w:pPr>
              <w:spacing w:before="0" w:line="240" w:lineRule="auto"/>
              <w:rPr>
                <w:rFonts w:cs="Arial"/>
              </w:rPr>
            </w:pPr>
          </w:p>
          <w:p w14:paraId="22E7370B" w14:textId="77777777" w:rsidR="004046D6" w:rsidRPr="00D11FA4" w:rsidRDefault="004046D6" w:rsidP="004046D6">
            <w:pPr>
              <w:spacing w:before="0" w:line="240" w:lineRule="auto"/>
              <w:rPr>
                <w:rFonts w:cs="Arial"/>
              </w:rPr>
            </w:pPr>
            <w:r w:rsidRPr="008E1AFE">
              <w:rPr>
                <w:rFonts w:cs="Arial"/>
                <w:lang w:bidi="et-EE"/>
              </w:rPr>
              <w:t>Munich Re kontserni tarnijate tegevuseeskirja eesmärk on aidata tagada, et kõik kolmandatest isikutest tarnijad, kes pakuvad kaupu ja/või teenuseid Munich Re ettevõttele ja nende tütarettevõtjatele, vastavad ohutute töötingimuste, töötajate õiglase ja lugupidava kohtlemise, eetiliste äritavade, korruptsiooni suhtes nulltolerantsi ja keskkonnakaitse standarditele.</w:t>
            </w:r>
          </w:p>
          <w:p w14:paraId="1B376E40" w14:textId="77777777" w:rsidR="004046D6" w:rsidRDefault="004046D6" w:rsidP="004046D6">
            <w:pPr>
              <w:pStyle w:val="BodyText"/>
              <w:spacing w:line="240" w:lineRule="auto"/>
              <w:ind w:left="-99"/>
              <w:rPr>
                <w:sz w:val="20"/>
                <w:szCs w:val="20"/>
              </w:rPr>
            </w:pPr>
          </w:p>
          <w:p w14:paraId="69FAC871" w14:textId="77777777" w:rsidR="005B0001" w:rsidRPr="00D11FA4" w:rsidRDefault="005B0001" w:rsidP="004046D6">
            <w:pPr>
              <w:pStyle w:val="BodyText"/>
              <w:spacing w:line="240" w:lineRule="auto"/>
              <w:ind w:left="-99"/>
              <w:rPr>
                <w:sz w:val="20"/>
                <w:szCs w:val="20"/>
              </w:rPr>
            </w:pPr>
          </w:p>
          <w:p w14:paraId="79B71111" w14:textId="388D4B24" w:rsidR="004046D6" w:rsidRPr="00B74180" w:rsidRDefault="004046D6" w:rsidP="004046D6">
            <w:pPr>
              <w:spacing w:before="0" w:line="240" w:lineRule="auto"/>
              <w:rPr>
                <w:b/>
                <w:snapToGrid w:val="0"/>
              </w:rPr>
            </w:pPr>
            <w:r w:rsidRPr="00BB644D">
              <w:rPr>
                <w:rFonts w:cs="Arial"/>
                <w:lang w:bidi="et-EE"/>
              </w:rPr>
              <w:t xml:space="preserve">Seda </w:t>
            </w:r>
            <w:r>
              <w:rPr>
                <w:lang w:bidi="et-EE"/>
              </w:rPr>
              <w:t>kokkulepet</w:t>
            </w:r>
            <w:r w:rsidRPr="00BB644D">
              <w:rPr>
                <w:rFonts w:cs="Arial"/>
                <w:lang w:bidi="et-EE"/>
              </w:rPr>
              <w:t xml:space="preserve"> kohaldatakse kõigi praeguste ja tulevaste lepingute suhtes, mis on sõlmitud </w:t>
            </w:r>
            <w:r>
              <w:rPr>
                <w:lang w:bidi="et-EE"/>
              </w:rPr>
              <w:t xml:space="preserve">tarnija ja </w:t>
            </w:r>
            <w:r w:rsidRPr="00BB644D">
              <w:rPr>
                <w:rFonts w:cs="Arial"/>
                <w:lang w:bidi="et-EE"/>
              </w:rPr>
              <w:t xml:space="preserve">ERGO Group AG või </w:t>
            </w:r>
            <w:r>
              <w:rPr>
                <w:lang w:bidi="et-EE"/>
              </w:rPr>
              <w:t xml:space="preserve">temaga seotud äriühingu vahel vastavalt Saksa aktsiaseltside seaduse (AktG) paragrahvile 15 jj (edaspidi koos „ERGO kontsern“) </w:t>
            </w:r>
            <w:r w:rsidRPr="00937B20">
              <w:rPr>
                <w:rFonts w:cs="Arial"/>
                <w:lang w:bidi="et-EE"/>
              </w:rPr>
              <w:t>(sealhulgas</w:t>
            </w:r>
            <w:r>
              <w:rPr>
                <w:rFonts w:cs="Arial"/>
                <w:lang w:bidi="et-EE"/>
              </w:rPr>
              <w:t xml:space="preserve"> ERGO Insurance SE ja selle filiaalid Lätis ja </w:t>
            </w:r>
            <w:r>
              <w:rPr>
                <w:rFonts w:cs="Arial"/>
                <w:lang w:bidi="et-EE"/>
              </w:rPr>
              <w:lastRenderedPageBreak/>
              <w:t xml:space="preserve">Leedus </w:t>
            </w:r>
            <w:r w:rsidRPr="00937B20">
              <w:rPr>
                <w:rFonts w:cs="Arial"/>
                <w:lang w:bidi="et-EE"/>
              </w:rPr>
              <w:t>ERGO Life Insurance SE ja selle filiaalid Lätis ja Eestis</w:t>
            </w:r>
            <w:r>
              <w:rPr>
                <w:rFonts w:cs="Arial"/>
                <w:lang w:bidi="et-EE"/>
              </w:rPr>
              <w:t>).</w:t>
            </w:r>
          </w:p>
        </w:tc>
      </w:tr>
      <w:tr w:rsidR="004046D6" w:rsidRPr="008C6E5C" w14:paraId="747D8554" w14:textId="749F05C2" w:rsidTr="2953A957">
        <w:tc>
          <w:tcPr>
            <w:tcW w:w="2465" w:type="pct"/>
            <w:shd w:val="clear" w:color="auto" w:fill="auto"/>
          </w:tcPr>
          <w:p w14:paraId="7A465388" w14:textId="77777777" w:rsidR="004046D6" w:rsidRPr="00B74180" w:rsidRDefault="004046D6" w:rsidP="004046D6">
            <w:pPr>
              <w:pStyle w:val="BodyText"/>
              <w:spacing w:line="240" w:lineRule="auto"/>
              <w:ind w:left="461"/>
              <w:rPr>
                <w:b/>
                <w:sz w:val="20"/>
                <w:szCs w:val="20"/>
              </w:rPr>
            </w:pPr>
          </w:p>
          <w:p w14:paraId="54641809" w14:textId="0E660123" w:rsidR="004046D6" w:rsidRDefault="004046D6" w:rsidP="004046D6">
            <w:pPr>
              <w:pStyle w:val="BodyText"/>
              <w:numPr>
                <w:ilvl w:val="0"/>
                <w:numId w:val="22"/>
              </w:numPr>
              <w:spacing w:line="240" w:lineRule="auto"/>
              <w:ind w:left="461" w:hanging="461"/>
              <w:rPr>
                <w:b/>
                <w:sz w:val="20"/>
                <w:szCs w:val="20"/>
                <w:lang w:val="en-US"/>
              </w:rPr>
            </w:pPr>
            <w:r>
              <w:rPr>
                <w:b/>
                <w:sz w:val="20"/>
                <w:szCs w:val="20"/>
                <w:lang w:val="en-US"/>
              </w:rPr>
              <w:t>Corporate Responsibility</w:t>
            </w:r>
          </w:p>
          <w:p w14:paraId="1B0203FC" w14:textId="77777777" w:rsidR="004046D6" w:rsidRPr="00BD083B" w:rsidRDefault="004046D6" w:rsidP="004046D6">
            <w:pPr>
              <w:pStyle w:val="BodyText"/>
              <w:spacing w:line="240" w:lineRule="auto"/>
              <w:ind w:left="720"/>
              <w:rPr>
                <w:b/>
                <w:sz w:val="20"/>
                <w:szCs w:val="20"/>
                <w:lang w:val="en-US"/>
              </w:rPr>
            </w:pPr>
          </w:p>
          <w:p w14:paraId="217185C4" w14:textId="0944E055" w:rsidR="004046D6" w:rsidRDefault="004046D6" w:rsidP="004046D6">
            <w:pPr>
              <w:spacing w:before="0" w:line="240" w:lineRule="auto"/>
              <w:rPr>
                <w:rFonts w:cs="Arial"/>
                <w:lang w:val="en-GB"/>
              </w:rPr>
            </w:pPr>
            <w:r w:rsidRPr="00BD729D">
              <w:rPr>
                <w:rFonts w:cs="Arial"/>
                <w:lang w:val="en-GB"/>
              </w:rPr>
              <w:t xml:space="preserve">ERGO as part of the Munich Re Group and </w:t>
            </w:r>
            <w:r>
              <w:rPr>
                <w:rFonts w:cs="Arial"/>
                <w:lang w:val="en-GB"/>
              </w:rPr>
              <w:t>supplier</w:t>
            </w:r>
            <w:r w:rsidRPr="00BD729D">
              <w:rPr>
                <w:rFonts w:cs="Arial"/>
                <w:lang w:val="en-GB"/>
              </w:rPr>
              <w:t xml:space="preserve"> acknowledge that Munich Re Group is subject to the German Supply Chain Due Diligence Act (GSCDDA) and is obliged to ensure human rights, environmental standards and good corporate governance along its entire supply chains. As a compulsory prerequisite for the contractual cooperation, the contractor is obliged to comply with the Munich Re Group’s Supplier Code of Conduct and the principles of the United Nations Global Compact. </w:t>
            </w:r>
          </w:p>
          <w:p w14:paraId="60CAF246" w14:textId="16FFB8BD" w:rsidR="004046D6" w:rsidRDefault="004046D6" w:rsidP="004046D6">
            <w:pPr>
              <w:spacing w:before="0" w:line="240" w:lineRule="auto"/>
              <w:rPr>
                <w:rFonts w:cs="Arial"/>
                <w:lang w:val="en-GB"/>
              </w:rPr>
            </w:pPr>
          </w:p>
          <w:p w14:paraId="64F6D384" w14:textId="77777777" w:rsidR="004046D6" w:rsidRDefault="004046D6" w:rsidP="004046D6">
            <w:pPr>
              <w:spacing w:before="0" w:line="240" w:lineRule="auto"/>
              <w:rPr>
                <w:rFonts w:cs="Arial"/>
                <w:lang w:val="en-GB"/>
              </w:rPr>
            </w:pPr>
            <w:r w:rsidRPr="00176362">
              <w:rPr>
                <w:rFonts w:cs="Arial"/>
                <w:lang w:val="en-GB"/>
              </w:rPr>
              <w:t xml:space="preserve">The Supplier Code of Conduct </w:t>
            </w:r>
            <w:r>
              <w:rPr>
                <w:rFonts w:cs="Arial"/>
                <w:lang w:val="en-GB"/>
              </w:rPr>
              <w:t xml:space="preserve">is </w:t>
            </w:r>
            <w:r w:rsidRPr="00176362">
              <w:rPr>
                <w:rFonts w:cs="Arial"/>
                <w:lang w:val="en-GB"/>
              </w:rPr>
              <w:t>available at</w:t>
            </w:r>
            <w:r>
              <w:rPr>
                <w:rFonts w:cs="Arial"/>
                <w:lang w:val="en-GB"/>
              </w:rPr>
              <w:t>:</w:t>
            </w:r>
          </w:p>
          <w:p w14:paraId="4232B2EF" w14:textId="77777777" w:rsidR="005B0001" w:rsidRPr="00534232" w:rsidRDefault="005B0001" w:rsidP="005B0001">
            <w:pPr>
              <w:spacing w:before="0" w:line="240" w:lineRule="auto"/>
              <w:rPr>
                <w:rFonts w:cs="Arial"/>
                <w:lang w:val="lt-LT"/>
              </w:rPr>
            </w:pPr>
            <w:r w:rsidRPr="00534232">
              <w:rPr>
                <w:rFonts w:cs="Arial"/>
                <w:lang w:val="lt-LT"/>
              </w:rPr>
              <w:t>https://ergo.lt/tvarumas/informacija-apie-tvaruma https://www.ergo.lv/lv/par-ergo/sadarbibas-partneriem</w:t>
            </w:r>
          </w:p>
          <w:p w14:paraId="2E074E39" w14:textId="77777777" w:rsidR="005B0001" w:rsidRPr="00534232" w:rsidRDefault="005B0001" w:rsidP="005B0001">
            <w:pPr>
              <w:spacing w:before="0" w:line="240" w:lineRule="auto"/>
              <w:rPr>
                <w:rFonts w:cs="Arial"/>
                <w:lang w:val="lt-LT"/>
              </w:rPr>
            </w:pPr>
            <w:r w:rsidRPr="00381BBB">
              <w:rPr>
                <w:rFonts w:cs="Arial"/>
                <w:lang w:val="lt-LT"/>
              </w:rPr>
              <w:t>https://ergo.ee/jatkusuutlikkus/materjalid-jatkusuutlikkuse-kohta</w:t>
            </w:r>
          </w:p>
          <w:p w14:paraId="08C17B78" w14:textId="77777777" w:rsidR="004046D6" w:rsidRPr="005B0001" w:rsidRDefault="004046D6" w:rsidP="004046D6">
            <w:pPr>
              <w:spacing w:before="0" w:line="240" w:lineRule="auto"/>
              <w:rPr>
                <w:rFonts w:cs="Arial"/>
                <w:lang w:val="lt-LT"/>
              </w:rPr>
            </w:pPr>
          </w:p>
          <w:p w14:paraId="1B258373" w14:textId="1A0A1124" w:rsidR="004046D6" w:rsidRPr="00F611C5" w:rsidRDefault="004046D6" w:rsidP="004046D6">
            <w:pPr>
              <w:spacing w:before="0" w:line="240" w:lineRule="auto"/>
              <w:rPr>
                <w:rFonts w:eastAsiaTheme="minorEastAsia"/>
                <w:color w:val="000000" w:themeColor="text1"/>
                <w:kern w:val="24"/>
                <w:lang w:val="en-GB"/>
              </w:rPr>
            </w:pPr>
            <w:r w:rsidRPr="00F611C5">
              <w:rPr>
                <w:rFonts w:eastAsiaTheme="minorEastAsia"/>
                <w:color w:val="000000" w:themeColor="text1"/>
                <w:kern w:val="24"/>
                <w:lang w:val="en-GB"/>
              </w:rPr>
              <w:t xml:space="preserve">In particular, </w:t>
            </w:r>
            <w:r>
              <w:rPr>
                <w:rFonts w:eastAsiaTheme="minorEastAsia"/>
                <w:color w:val="000000" w:themeColor="text1"/>
                <w:kern w:val="24"/>
                <w:lang w:val="en-GB"/>
              </w:rPr>
              <w:t xml:space="preserve">supplier </w:t>
            </w:r>
            <w:r w:rsidRPr="00F611C5">
              <w:rPr>
                <w:rFonts w:eastAsiaTheme="minorEastAsia"/>
                <w:color w:val="000000" w:themeColor="text1"/>
                <w:kern w:val="24"/>
                <w:lang w:val="en-GB"/>
              </w:rPr>
              <w:t>shall</w:t>
            </w:r>
          </w:p>
          <w:p w14:paraId="0930A50D" w14:textId="77777777" w:rsidR="004046D6" w:rsidRPr="00F611C5" w:rsidRDefault="004046D6" w:rsidP="004046D6">
            <w:pPr>
              <w:spacing w:before="0" w:line="240" w:lineRule="auto"/>
              <w:rPr>
                <w:rFonts w:eastAsiaTheme="minorEastAsia"/>
                <w:color w:val="000000" w:themeColor="text1"/>
                <w:kern w:val="24"/>
                <w:lang w:val="en-GB"/>
              </w:rPr>
            </w:pPr>
          </w:p>
          <w:p w14:paraId="2A38A822" w14:textId="63D0407B" w:rsidR="004046D6" w:rsidRDefault="004046D6" w:rsidP="004046D6">
            <w:pPr>
              <w:pStyle w:val="ListParagraph"/>
              <w:numPr>
                <w:ilvl w:val="0"/>
                <w:numId w:val="24"/>
              </w:numPr>
              <w:ind w:left="745" w:hanging="567"/>
              <w:contextualSpacing w:val="0"/>
              <w:jc w:val="both"/>
              <w:rPr>
                <w:rFonts w:ascii="Arial" w:hAnsi="Arial" w:cs="Arial"/>
                <w:lang w:val="en-GB"/>
              </w:rPr>
            </w:pPr>
            <w:r>
              <w:rPr>
                <w:rFonts w:ascii="Arial" w:hAnsi="Arial" w:cs="Arial"/>
                <w:lang w:val="en-GB"/>
              </w:rPr>
              <w:t>C</w:t>
            </w:r>
            <w:r w:rsidRPr="00F611C5">
              <w:rPr>
                <w:rFonts w:ascii="Arial" w:hAnsi="Arial" w:cs="Arial"/>
                <w:lang w:val="en-GB"/>
              </w:rPr>
              <w:t xml:space="preserve">omply with the expectations communicated by ERGO </w:t>
            </w:r>
            <w:r>
              <w:rPr>
                <w:rFonts w:ascii="Arial" w:hAnsi="Arial" w:cs="Arial"/>
                <w:lang w:val="en-GB"/>
              </w:rPr>
              <w:t xml:space="preserve">and the Munich Re Group </w:t>
            </w:r>
            <w:r w:rsidRPr="00F611C5">
              <w:rPr>
                <w:rFonts w:ascii="Arial" w:hAnsi="Arial" w:cs="Arial"/>
                <w:lang w:val="en-GB"/>
              </w:rPr>
              <w:t>in the Supplier</w:t>
            </w:r>
            <w:r>
              <w:rPr>
                <w:rFonts w:ascii="Arial" w:hAnsi="Arial" w:cs="Arial"/>
                <w:lang w:val="en-GB"/>
              </w:rPr>
              <w:t xml:space="preserve"> </w:t>
            </w:r>
            <w:r w:rsidRPr="00F611C5">
              <w:rPr>
                <w:rFonts w:ascii="Arial" w:hAnsi="Arial" w:cs="Arial"/>
                <w:lang w:val="en-GB"/>
              </w:rPr>
              <w:t>Code of Conduct and to address them within the supply chain</w:t>
            </w:r>
          </w:p>
          <w:p w14:paraId="6FCDB8EB" w14:textId="77777777" w:rsidR="004046D6" w:rsidRPr="00F611C5" w:rsidRDefault="004046D6" w:rsidP="004046D6">
            <w:pPr>
              <w:pStyle w:val="ListParagraph"/>
              <w:ind w:left="743" w:hanging="567"/>
              <w:contextualSpacing w:val="0"/>
              <w:jc w:val="both"/>
              <w:rPr>
                <w:rFonts w:ascii="Arial" w:hAnsi="Arial" w:cs="Arial"/>
                <w:lang w:val="en-GB"/>
              </w:rPr>
            </w:pPr>
          </w:p>
          <w:p w14:paraId="5A96F3F8" w14:textId="474690EA" w:rsidR="004046D6" w:rsidRPr="00BD729D" w:rsidRDefault="004046D6" w:rsidP="004046D6">
            <w:pPr>
              <w:pStyle w:val="ListParagraph"/>
              <w:numPr>
                <w:ilvl w:val="0"/>
                <w:numId w:val="24"/>
              </w:numPr>
              <w:ind w:left="745" w:hanging="567"/>
              <w:contextualSpacing w:val="0"/>
              <w:jc w:val="both"/>
              <w:rPr>
                <w:rFonts w:ascii="Arial" w:hAnsi="Arial" w:cs="Arial"/>
                <w:lang w:val="en-GB"/>
              </w:rPr>
            </w:pPr>
            <w:r>
              <w:rPr>
                <w:rFonts w:ascii="Arial" w:hAnsi="Arial" w:cs="Arial"/>
                <w:lang w:val="en-GB"/>
              </w:rPr>
              <w:t>I</w:t>
            </w:r>
            <w:r w:rsidRPr="00BD729D">
              <w:rPr>
                <w:rFonts w:ascii="Arial" w:hAnsi="Arial" w:cs="Arial"/>
                <w:lang w:val="en-GB"/>
              </w:rPr>
              <w:t xml:space="preserve">nform ERGO about any material compliance violations in its own area of responsibility and the supply chain that come to its attention </w:t>
            </w:r>
          </w:p>
          <w:p w14:paraId="21F87640" w14:textId="77777777" w:rsidR="004046D6" w:rsidRPr="00BD729D" w:rsidRDefault="004046D6" w:rsidP="004046D6">
            <w:pPr>
              <w:spacing w:before="0" w:line="240" w:lineRule="auto"/>
              <w:ind w:left="743" w:hanging="567"/>
              <w:rPr>
                <w:rFonts w:cs="Arial"/>
                <w:lang w:val="en-GB"/>
              </w:rPr>
            </w:pPr>
          </w:p>
          <w:p w14:paraId="6C1A6634" w14:textId="79323FDD" w:rsidR="004046D6" w:rsidRDefault="004046D6" w:rsidP="004046D6">
            <w:pPr>
              <w:pStyle w:val="ListParagraph"/>
              <w:numPr>
                <w:ilvl w:val="0"/>
                <w:numId w:val="24"/>
              </w:numPr>
              <w:ind w:left="745" w:hanging="567"/>
              <w:contextualSpacing w:val="0"/>
              <w:jc w:val="both"/>
              <w:rPr>
                <w:rFonts w:ascii="Arial" w:hAnsi="Arial" w:cs="Arial"/>
                <w:lang w:val="en-GB"/>
              </w:rPr>
            </w:pPr>
            <w:r>
              <w:rPr>
                <w:rFonts w:ascii="Arial" w:hAnsi="Arial" w:cs="Arial"/>
                <w:lang w:val="en-GB"/>
              </w:rPr>
              <w:t>P</w:t>
            </w:r>
            <w:r w:rsidRPr="00F611C5">
              <w:rPr>
                <w:rFonts w:ascii="Arial" w:hAnsi="Arial" w:cs="Arial"/>
                <w:lang w:val="en-GB"/>
              </w:rPr>
              <w:t xml:space="preserve">roperly select and monitor its supply chain partners. </w:t>
            </w:r>
          </w:p>
          <w:p w14:paraId="2E5A8B2A" w14:textId="77777777" w:rsidR="004046D6" w:rsidRPr="00F611C5" w:rsidRDefault="004046D6" w:rsidP="004046D6">
            <w:pPr>
              <w:spacing w:before="0" w:line="240" w:lineRule="auto"/>
              <w:ind w:left="745" w:hanging="567"/>
              <w:rPr>
                <w:rFonts w:cs="Arial"/>
                <w:lang w:val="en-GB"/>
              </w:rPr>
            </w:pPr>
          </w:p>
          <w:p w14:paraId="646BE586" w14:textId="17C8FFD8" w:rsidR="004046D6" w:rsidRPr="00F611C5" w:rsidRDefault="004046D6" w:rsidP="004046D6">
            <w:pPr>
              <w:pStyle w:val="ListParagraph"/>
              <w:numPr>
                <w:ilvl w:val="0"/>
                <w:numId w:val="24"/>
              </w:numPr>
              <w:ind w:left="745" w:hanging="567"/>
              <w:contextualSpacing w:val="0"/>
              <w:jc w:val="both"/>
              <w:rPr>
                <w:rFonts w:ascii="Arial" w:hAnsi="Arial" w:cs="Arial"/>
                <w:lang w:val="en-GB"/>
              </w:rPr>
            </w:pPr>
            <w:r>
              <w:rPr>
                <w:rFonts w:ascii="Arial" w:hAnsi="Arial" w:cs="Arial"/>
                <w:lang w:val="en-GB"/>
              </w:rPr>
              <w:t>G</w:t>
            </w:r>
            <w:r w:rsidRPr="00F611C5">
              <w:rPr>
                <w:rFonts w:ascii="Arial" w:hAnsi="Arial" w:cs="Arial"/>
                <w:lang w:val="en-GB"/>
              </w:rPr>
              <w:t>rant ERGO appropriate inspection and audit rights in order to enable ERGO to determine that Supplier is in compliance with these obligations.</w:t>
            </w:r>
          </w:p>
          <w:p w14:paraId="5A1B4D28" w14:textId="77777777" w:rsidR="004046D6" w:rsidRPr="00F611C5" w:rsidRDefault="004046D6" w:rsidP="004046D6">
            <w:pPr>
              <w:spacing w:before="0" w:line="240" w:lineRule="auto"/>
              <w:ind w:left="743" w:hanging="567"/>
              <w:rPr>
                <w:rFonts w:cs="Arial"/>
                <w:lang w:val="en-GB"/>
              </w:rPr>
            </w:pPr>
          </w:p>
          <w:p w14:paraId="4F524095" w14:textId="77777777" w:rsidR="005B0001" w:rsidRPr="00534232" w:rsidRDefault="005B0001" w:rsidP="005B0001">
            <w:pPr>
              <w:spacing w:before="0" w:line="240" w:lineRule="auto"/>
              <w:ind w:right="28"/>
              <w:rPr>
                <w:rFonts w:cs="Arial"/>
                <w:lang w:val="lt-LT"/>
              </w:rPr>
            </w:pPr>
            <w:r w:rsidRPr="00534232">
              <w:rPr>
                <w:rFonts w:cs="Arial"/>
                <w:lang w:val="lt-LT"/>
              </w:rPr>
              <w:t>In addition, the supplier is obligated to:</w:t>
            </w:r>
          </w:p>
          <w:p w14:paraId="21847B75" w14:textId="77777777" w:rsidR="005B0001" w:rsidRPr="00534232" w:rsidRDefault="005B0001" w:rsidP="005B0001">
            <w:pPr>
              <w:spacing w:before="0" w:line="240" w:lineRule="auto"/>
              <w:ind w:right="28"/>
              <w:rPr>
                <w:rFonts w:cs="Arial"/>
                <w:lang w:val="lt-LT"/>
              </w:rPr>
            </w:pPr>
          </w:p>
          <w:p w14:paraId="7280FD7C" w14:textId="77777777" w:rsidR="005B0001" w:rsidRPr="00534232" w:rsidRDefault="005B0001" w:rsidP="005B0001">
            <w:pPr>
              <w:pStyle w:val="ListParagraph"/>
              <w:numPr>
                <w:ilvl w:val="0"/>
                <w:numId w:val="28"/>
              </w:numPr>
              <w:ind w:left="743" w:right="28" w:hanging="570"/>
              <w:jc w:val="both"/>
              <w:rPr>
                <w:rFonts w:ascii="Arial" w:hAnsi="Arial" w:cs="Arial"/>
                <w:lang w:val="lt-LT"/>
              </w:rPr>
            </w:pPr>
            <w:r w:rsidRPr="00534232">
              <w:rPr>
                <w:rFonts w:ascii="Arial" w:hAnsi="Arial" w:cs="Arial"/>
                <w:lang w:val="lt-LT"/>
              </w:rPr>
              <w:t xml:space="preserve">Disclose to ERGO upon ERGO´s prior request as to which natural persons and/or legal entities own a controlling interest in the supplier, either directly or indirectly. The supplier must immediately report any changes. The supplier must disclose to the extent known if these persons or entities are in any way involved with ERGO employees who are involved in the buying process applicable to the specific case. Either ERGO or the supplier shall upon prior request of the other party disclose to the extent known any existing or planned connection between organs and employees of one party and organs and employees of the other party that </w:t>
            </w:r>
            <w:r w:rsidRPr="00534232">
              <w:rPr>
                <w:rFonts w:ascii="Arial" w:hAnsi="Arial" w:cs="Arial"/>
                <w:lang w:val="lt-LT"/>
              </w:rPr>
              <w:lastRenderedPageBreak/>
              <w:t>may influence the buying process applicable to the specific case.</w:t>
            </w:r>
          </w:p>
          <w:p w14:paraId="598970E9" w14:textId="77777777" w:rsidR="005B0001" w:rsidRPr="00534232" w:rsidRDefault="005B0001" w:rsidP="005B0001">
            <w:pPr>
              <w:spacing w:before="0" w:line="240" w:lineRule="auto"/>
              <w:ind w:left="743" w:right="28"/>
              <w:rPr>
                <w:rFonts w:eastAsiaTheme="minorEastAsia" w:cs="Arial"/>
                <w:color w:val="000000" w:themeColor="text1"/>
                <w:kern w:val="24"/>
                <w:lang w:val="lt-LT"/>
              </w:rPr>
            </w:pPr>
          </w:p>
          <w:p w14:paraId="08BD8605" w14:textId="77777777" w:rsidR="005B0001" w:rsidRPr="00534232" w:rsidRDefault="005B0001" w:rsidP="005B0001">
            <w:pPr>
              <w:pStyle w:val="ListParagraph"/>
              <w:numPr>
                <w:ilvl w:val="0"/>
                <w:numId w:val="28"/>
              </w:numPr>
              <w:ind w:left="743" w:right="28"/>
              <w:jc w:val="both"/>
              <w:rPr>
                <w:rFonts w:ascii="Arial" w:eastAsiaTheme="minorEastAsia" w:hAnsi="Arial" w:cs="Arial"/>
                <w:color w:val="000000" w:themeColor="text1"/>
                <w:kern w:val="24"/>
                <w:lang w:val="lt-LT"/>
              </w:rPr>
            </w:pPr>
            <w:r w:rsidRPr="00534232">
              <w:rPr>
                <w:rFonts w:ascii="Arial" w:eastAsiaTheme="minorEastAsia" w:hAnsi="Arial" w:cs="Arial"/>
                <w:color w:val="000000" w:themeColor="text1"/>
                <w:kern w:val="24"/>
                <w:lang w:val="lt-LT"/>
              </w:rPr>
              <w:t>Ensure that the supplier, the executive bodies, officers and employees, as well as all third parties working for the supplier and associated with this contract (all hereinafter referred to as “relevant persons”), are aware of and comply with the applicable laws and regulations regarding corruption, including the granting and acceptance of benefits and bribery, in all countries in which the supplier or the relevant persons mentioned are or will be doing business.</w:t>
            </w:r>
          </w:p>
          <w:p w14:paraId="001013B9" w14:textId="77777777" w:rsidR="004046D6" w:rsidRPr="00BD729D" w:rsidRDefault="004046D6" w:rsidP="005B0001">
            <w:pPr>
              <w:spacing w:before="0" w:line="240" w:lineRule="auto"/>
              <w:rPr>
                <w:lang w:val="en-GB"/>
              </w:rPr>
            </w:pPr>
          </w:p>
          <w:p w14:paraId="12080741" w14:textId="77777777" w:rsidR="004046D6" w:rsidRDefault="004046D6" w:rsidP="004046D6">
            <w:pPr>
              <w:spacing w:before="0" w:line="240" w:lineRule="auto"/>
              <w:rPr>
                <w:rFonts w:eastAsiaTheme="minorEastAsia"/>
                <w:color w:val="000000" w:themeColor="text1"/>
                <w:kern w:val="24"/>
                <w:lang w:val="en-GB"/>
              </w:rPr>
            </w:pPr>
          </w:p>
          <w:p w14:paraId="7609E405" w14:textId="1E27DEB6" w:rsidR="004046D6" w:rsidRPr="004046D6" w:rsidRDefault="004046D6" w:rsidP="004046D6">
            <w:pPr>
              <w:spacing w:before="0" w:line="240" w:lineRule="auto"/>
              <w:rPr>
                <w:rFonts w:eastAsiaTheme="minorEastAsia"/>
                <w:color w:val="000000" w:themeColor="text1"/>
                <w:kern w:val="24"/>
                <w:lang w:val="en-GB"/>
              </w:rPr>
            </w:pPr>
            <w:r>
              <w:rPr>
                <w:rFonts w:eastAsiaTheme="minorEastAsia"/>
                <w:color w:val="000000" w:themeColor="text1"/>
                <w:kern w:val="24"/>
                <w:lang w:val="en-GB"/>
              </w:rPr>
              <w:t>The obligations of the supplier set forth</w:t>
            </w:r>
            <w:r w:rsidRPr="00F611C5">
              <w:rPr>
                <w:rFonts w:eastAsiaTheme="minorEastAsia"/>
                <w:color w:val="000000" w:themeColor="text1"/>
                <w:kern w:val="24"/>
                <w:lang w:val="en-GB"/>
              </w:rPr>
              <w:t xml:space="preserve"> in this clause </w:t>
            </w:r>
            <w:r>
              <w:rPr>
                <w:rFonts w:eastAsiaTheme="minorEastAsia"/>
                <w:color w:val="000000" w:themeColor="text1"/>
                <w:kern w:val="24"/>
                <w:lang w:val="en-GB"/>
              </w:rPr>
              <w:t xml:space="preserve">2 </w:t>
            </w:r>
            <w:r w:rsidRPr="00F611C5">
              <w:rPr>
                <w:rFonts w:eastAsiaTheme="minorEastAsia"/>
                <w:color w:val="000000" w:themeColor="text1"/>
                <w:kern w:val="24"/>
                <w:lang w:val="en-GB"/>
              </w:rPr>
              <w:t xml:space="preserve">are principal contractual obligations </w:t>
            </w:r>
            <w:r>
              <w:rPr>
                <w:rFonts w:eastAsiaTheme="minorEastAsia"/>
                <w:color w:val="000000" w:themeColor="text1"/>
                <w:kern w:val="24"/>
                <w:lang w:val="en-GB"/>
              </w:rPr>
              <w:t xml:space="preserve">of the supplier, the breach of which </w:t>
            </w:r>
            <w:r w:rsidRPr="00F611C5">
              <w:rPr>
                <w:rFonts w:eastAsiaTheme="minorEastAsia"/>
                <w:color w:val="000000" w:themeColor="text1"/>
                <w:kern w:val="24"/>
                <w:lang w:val="en-GB"/>
              </w:rPr>
              <w:t xml:space="preserve">shall </w:t>
            </w:r>
            <w:r>
              <w:rPr>
                <w:rFonts w:eastAsiaTheme="minorEastAsia"/>
                <w:color w:val="000000" w:themeColor="text1"/>
                <w:kern w:val="24"/>
                <w:lang w:val="en-GB"/>
              </w:rPr>
              <w:t xml:space="preserve">constitute </w:t>
            </w:r>
            <w:r w:rsidRPr="00F611C5">
              <w:rPr>
                <w:rFonts w:eastAsiaTheme="minorEastAsia"/>
                <w:color w:val="000000" w:themeColor="text1"/>
                <w:kern w:val="24"/>
                <w:lang w:val="en-GB"/>
              </w:rPr>
              <w:t>good cause for</w:t>
            </w:r>
            <w:r>
              <w:rPr>
                <w:rFonts w:eastAsiaTheme="minorEastAsia"/>
                <w:color w:val="000000" w:themeColor="text1"/>
                <w:kern w:val="24"/>
                <w:lang w:val="en-GB"/>
              </w:rPr>
              <w:t xml:space="preserve"> ERGO </w:t>
            </w:r>
            <w:r w:rsidRPr="00662433">
              <w:rPr>
                <w:rFonts w:eastAsiaTheme="minorEastAsia"/>
                <w:color w:val="000000" w:themeColor="text1"/>
                <w:kern w:val="24"/>
                <w:lang w:val="en-GB"/>
              </w:rPr>
              <w:t xml:space="preserve">or the respective company affiliated with it in accordance with Sections 15 et seq. </w:t>
            </w:r>
            <w:proofErr w:type="spellStart"/>
            <w:r w:rsidRPr="00662433">
              <w:rPr>
                <w:rFonts w:eastAsiaTheme="minorEastAsia"/>
                <w:color w:val="000000" w:themeColor="text1"/>
                <w:kern w:val="24"/>
                <w:lang w:val="en-GB"/>
              </w:rPr>
              <w:t>AktG</w:t>
            </w:r>
            <w:proofErr w:type="spellEnd"/>
            <w:r w:rsidRPr="00662433">
              <w:rPr>
                <w:rFonts w:eastAsiaTheme="minorEastAsia"/>
                <w:color w:val="000000" w:themeColor="text1"/>
                <w:kern w:val="24"/>
                <w:lang w:val="en-GB"/>
              </w:rPr>
              <w:t xml:space="preserve"> </w:t>
            </w:r>
            <w:r>
              <w:rPr>
                <w:rFonts w:eastAsiaTheme="minorEastAsia"/>
                <w:color w:val="000000" w:themeColor="text1"/>
                <w:kern w:val="24"/>
                <w:lang w:val="en-GB"/>
              </w:rPr>
              <w:t xml:space="preserve">to terminate current contracts without notice. </w:t>
            </w:r>
          </w:p>
        </w:tc>
        <w:tc>
          <w:tcPr>
            <w:tcW w:w="2535" w:type="pct"/>
          </w:tcPr>
          <w:p w14:paraId="1F887F45" w14:textId="77777777" w:rsidR="004046D6" w:rsidRPr="00B74180" w:rsidRDefault="004046D6" w:rsidP="004046D6">
            <w:pPr>
              <w:pStyle w:val="BodyText"/>
              <w:spacing w:line="240" w:lineRule="auto"/>
              <w:ind w:left="461"/>
              <w:rPr>
                <w:b/>
                <w:sz w:val="20"/>
                <w:szCs w:val="20"/>
              </w:rPr>
            </w:pPr>
          </w:p>
          <w:p w14:paraId="52872FB7" w14:textId="77777777" w:rsidR="004046D6" w:rsidRDefault="004046D6" w:rsidP="004046D6">
            <w:pPr>
              <w:pStyle w:val="BodyText"/>
              <w:numPr>
                <w:ilvl w:val="0"/>
                <w:numId w:val="22"/>
              </w:numPr>
              <w:spacing w:line="240" w:lineRule="auto"/>
              <w:ind w:left="461" w:hanging="461"/>
              <w:rPr>
                <w:b/>
                <w:sz w:val="20"/>
                <w:szCs w:val="20"/>
                <w:lang w:val="en-US"/>
              </w:rPr>
            </w:pPr>
            <w:r>
              <w:rPr>
                <w:b/>
                <w:sz w:val="20"/>
                <w:szCs w:val="20"/>
                <w:lang w:bidi="et-EE"/>
              </w:rPr>
              <w:t>Vastutustundlik ettevõtlus</w:t>
            </w:r>
          </w:p>
          <w:p w14:paraId="273E5B6B" w14:textId="77777777" w:rsidR="004046D6" w:rsidRPr="00BD083B" w:rsidRDefault="004046D6" w:rsidP="004046D6">
            <w:pPr>
              <w:pStyle w:val="BodyText"/>
              <w:spacing w:line="240" w:lineRule="auto"/>
              <w:ind w:left="720"/>
              <w:rPr>
                <w:b/>
                <w:sz w:val="20"/>
                <w:szCs w:val="20"/>
                <w:lang w:val="en-US"/>
              </w:rPr>
            </w:pPr>
          </w:p>
          <w:p w14:paraId="1E45ECD8" w14:textId="77777777" w:rsidR="004046D6" w:rsidRPr="00D11FA4" w:rsidRDefault="004046D6" w:rsidP="004046D6">
            <w:pPr>
              <w:spacing w:before="0" w:line="240" w:lineRule="auto"/>
              <w:rPr>
                <w:rFonts w:cs="Arial"/>
              </w:rPr>
            </w:pPr>
            <w:r w:rsidRPr="00BD729D">
              <w:rPr>
                <w:rFonts w:cs="Arial"/>
                <w:lang w:bidi="et-EE"/>
              </w:rPr>
              <w:t xml:space="preserve">Munich Re kontserni osana ja tarnijana tunnistab ERGO, et Munich Re kontserni suhtes kohaldatakse Saksamaa tarneahela hoolsuskohustuse seadust (GSCDDA) ning ta on kohustatud tagama inimõigused, keskkonnastandardid ja hea äriühingu üldjuhtimise kogu oma tarneahelas. Lepingulise koostöö kohustusliku eeltingimusena on töövõtja kohustatud järgima Munich Re kontserni tarnijate tegevuseeskirja ja ÜRO ülemaailmse kokkuleppe põhimõtteid. </w:t>
            </w:r>
          </w:p>
          <w:p w14:paraId="7B9BCD31" w14:textId="77777777" w:rsidR="004046D6" w:rsidRDefault="004046D6" w:rsidP="004046D6">
            <w:pPr>
              <w:spacing w:before="0" w:line="240" w:lineRule="auto"/>
              <w:rPr>
                <w:rFonts w:cs="Arial"/>
              </w:rPr>
            </w:pPr>
          </w:p>
          <w:p w14:paraId="7A41874F" w14:textId="77777777" w:rsidR="005B0001" w:rsidRPr="00D11FA4" w:rsidRDefault="005B0001" w:rsidP="004046D6">
            <w:pPr>
              <w:spacing w:before="0" w:line="240" w:lineRule="auto"/>
              <w:rPr>
                <w:rFonts w:cs="Arial"/>
              </w:rPr>
            </w:pPr>
          </w:p>
          <w:p w14:paraId="231BCFE2" w14:textId="77777777" w:rsidR="004046D6" w:rsidRDefault="004046D6" w:rsidP="004046D6">
            <w:pPr>
              <w:spacing w:before="0" w:line="240" w:lineRule="auto"/>
              <w:rPr>
                <w:rFonts w:cs="Arial"/>
                <w:lang w:val="en-GB"/>
              </w:rPr>
            </w:pPr>
            <w:r w:rsidRPr="00176362">
              <w:rPr>
                <w:rFonts w:cs="Arial"/>
                <w:lang w:bidi="et-EE"/>
              </w:rPr>
              <w:t>Tarnijate tegevuseeskiri on kättesaadav aadressil:</w:t>
            </w:r>
          </w:p>
          <w:p w14:paraId="2E25925B" w14:textId="77777777" w:rsidR="005B0001" w:rsidRPr="00534232" w:rsidRDefault="005B0001" w:rsidP="005B0001">
            <w:pPr>
              <w:spacing w:before="0" w:line="240" w:lineRule="auto"/>
              <w:rPr>
                <w:rFonts w:cs="Arial"/>
                <w:lang w:val="lt-LT"/>
              </w:rPr>
            </w:pPr>
            <w:r w:rsidRPr="00534232">
              <w:rPr>
                <w:rFonts w:cs="Arial"/>
                <w:lang w:val="lt-LT"/>
              </w:rPr>
              <w:t>https://ergo.lt/tvarumas/informacija-apie-tvaruma https://www.ergo.lv/lv/par-ergo/sadarbibas-partneriem</w:t>
            </w:r>
          </w:p>
          <w:p w14:paraId="726C71EA" w14:textId="77777777" w:rsidR="005B0001" w:rsidRPr="00534232" w:rsidRDefault="005B0001" w:rsidP="005B0001">
            <w:pPr>
              <w:spacing w:before="0" w:line="240" w:lineRule="auto"/>
              <w:rPr>
                <w:rFonts w:cs="Arial"/>
                <w:lang w:val="lt-LT"/>
              </w:rPr>
            </w:pPr>
            <w:r w:rsidRPr="00381BBB">
              <w:rPr>
                <w:rFonts w:cs="Arial"/>
                <w:lang w:val="lt-LT"/>
              </w:rPr>
              <w:t>https://ergo.ee/jatkusuutlikkus/materjalid-jatkusuutlikkuse-kohta</w:t>
            </w:r>
          </w:p>
          <w:p w14:paraId="39D8F6FD" w14:textId="77777777" w:rsidR="004046D6" w:rsidRDefault="004046D6" w:rsidP="004046D6">
            <w:pPr>
              <w:spacing w:before="0" w:line="240" w:lineRule="auto"/>
              <w:rPr>
                <w:rFonts w:cs="Arial"/>
                <w:lang w:val="lt-LT"/>
              </w:rPr>
            </w:pPr>
          </w:p>
          <w:p w14:paraId="37512C89" w14:textId="77777777" w:rsidR="005B0001" w:rsidRPr="005B0001" w:rsidRDefault="005B0001" w:rsidP="004046D6">
            <w:pPr>
              <w:spacing w:before="0" w:line="240" w:lineRule="auto"/>
              <w:rPr>
                <w:rFonts w:cs="Arial"/>
                <w:lang w:val="lt-LT"/>
              </w:rPr>
            </w:pPr>
          </w:p>
          <w:p w14:paraId="53880952" w14:textId="77777777" w:rsidR="004046D6" w:rsidRPr="00F611C5" w:rsidRDefault="004046D6" w:rsidP="004046D6">
            <w:pPr>
              <w:spacing w:before="0" w:line="240" w:lineRule="auto"/>
              <w:rPr>
                <w:rFonts w:eastAsiaTheme="minorEastAsia"/>
                <w:color w:val="000000" w:themeColor="text1"/>
                <w:kern w:val="24"/>
                <w:lang w:val="en-GB"/>
              </w:rPr>
            </w:pPr>
            <w:r w:rsidRPr="00F611C5">
              <w:rPr>
                <w:rFonts w:eastAsiaTheme="minorEastAsia"/>
                <w:color w:val="000000" w:themeColor="text1"/>
                <w:kern w:val="24"/>
                <w:lang w:bidi="et-EE"/>
              </w:rPr>
              <w:t>Eelkõige peab tarnija</w:t>
            </w:r>
          </w:p>
          <w:p w14:paraId="24DA7E96" w14:textId="77777777" w:rsidR="004046D6" w:rsidRPr="00F611C5" w:rsidRDefault="004046D6" w:rsidP="004046D6">
            <w:pPr>
              <w:spacing w:before="0" w:line="240" w:lineRule="auto"/>
              <w:rPr>
                <w:rFonts w:eastAsiaTheme="minorEastAsia"/>
                <w:color w:val="000000" w:themeColor="text1"/>
                <w:kern w:val="24"/>
                <w:lang w:val="en-GB"/>
              </w:rPr>
            </w:pPr>
          </w:p>
          <w:p w14:paraId="6D36F444" w14:textId="77777777" w:rsidR="004046D6" w:rsidRDefault="004046D6" w:rsidP="004046D6">
            <w:pPr>
              <w:pStyle w:val="ListParagraph"/>
              <w:numPr>
                <w:ilvl w:val="0"/>
                <w:numId w:val="27"/>
              </w:numPr>
              <w:ind w:left="743" w:hanging="567"/>
              <w:contextualSpacing w:val="0"/>
              <w:jc w:val="both"/>
              <w:rPr>
                <w:rFonts w:ascii="Arial" w:hAnsi="Arial" w:cs="Arial"/>
                <w:lang w:val="en-GB"/>
              </w:rPr>
            </w:pPr>
            <w:r>
              <w:rPr>
                <w:rFonts w:ascii="Arial" w:eastAsia="Arial" w:hAnsi="Arial" w:cs="Arial"/>
                <w:lang w:bidi="et-EE"/>
              </w:rPr>
              <w:t>täitma ERGO ja Munich Re kontserni poolt tarnija tegevuseeskirjas esitatud ootusi ning käsitlema neid tarneahelas;</w:t>
            </w:r>
          </w:p>
          <w:p w14:paraId="7045C23F" w14:textId="77777777" w:rsidR="004046D6" w:rsidRPr="00F611C5" w:rsidRDefault="004046D6" w:rsidP="004046D6">
            <w:pPr>
              <w:pStyle w:val="ListParagraph"/>
              <w:ind w:left="743" w:hanging="567"/>
              <w:contextualSpacing w:val="0"/>
              <w:jc w:val="both"/>
              <w:rPr>
                <w:rFonts w:ascii="Arial" w:hAnsi="Arial" w:cs="Arial"/>
                <w:lang w:val="en-GB"/>
              </w:rPr>
            </w:pPr>
          </w:p>
          <w:p w14:paraId="3F39DA4E" w14:textId="77777777" w:rsidR="004046D6" w:rsidRPr="004F1EC1" w:rsidRDefault="004046D6" w:rsidP="004046D6">
            <w:pPr>
              <w:pStyle w:val="ListParagraph"/>
              <w:numPr>
                <w:ilvl w:val="0"/>
                <w:numId w:val="27"/>
              </w:numPr>
              <w:ind w:left="745" w:hanging="567"/>
              <w:contextualSpacing w:val="0"/>
              <w:jc w:val="both"/>
              <w:rPr>
                <w:rFonts w:ascii="Arial" w:hAnsi="Arial" w:cs="Arial"/>
                <w:lang w:val="it-IT"/>
              </w:rPr>
            </w:pPr>
            <w:r>
              <w:rPr>
                <w:rFonts w:ascii="Arial" w:eastAsia="Arial" w:hAnsi="Arial" w:cs="Arial"/>
                <w:lang w:bidi="et-EE"/>
              </w:rPr>
              <w:t xml:space="preserve">teatama ERGO-le kõigist talle teatavaks saanud olulistest rikkumistest tema vastutusalas ja tarneahelas; </w:t>
            </w:r>
          </w:p>
          <w:p w14:paraId="2978C013" w14:textId="77777777" w:rsidR="004046D6" w:rsidRPr="004F1EC1" w:rsidRDefault="004046D6" w:rsidP="004046D6">
            <w:pPr>
              <w:spacing w:before="0" w:line="240" w:lineRule="auto"/>
              <w:ind w:left="743" w:hanging="567"/>
              <w:rPr>
                <w:rFonts w:cs="Arial"/>
                <w:lang w:val="it-IT"/>
              </w:rPr>
            </w:pPr>
          </w:p>
          <w:p w14:paraId="186D554C" w14:textId="77777777" w:rsidR="004046D6" w:rsidRPr="004F1EC1" w:rsidRDefault="004046D6" w:rsidP="004046D6">
            <w:pPr>
              <w:pStyle w:val="ListParagraph"/>
              <w:numPr>
                <w:ilvl w:val="0"/>
                <w:numId w:val="27"/>
              </w:numPr>
              <w:ind w:left="745" w:hanging="567"/>
              <w:contextualSpacing w:val="0"/>
              <w:jc w:val="both"/>
              <w:rPr>
                <w:rFonts w:ascii="Arial" w:hAnsi="Arial" w:cs="Arial"/>
                <w:lang w:val="it-IT"/>
              </w:rPr>
            </w:pPr>
            <w:r>
              <w:rPr>
                <w:rFonts w:ascii="Arial" w:eastAsia="Arial" w:hAnsi="Arial" w:cs="Arial"/>
                <w:lang w:bidi="et-EE"/>
              </w:rPr>
              <w:t xml:space="preserve">valima ja jälgima nõuetekohaselt oma tarneahela partnereid; </w:t>
            </w:r>
          </w:p>
          <w:p w14:paraId="356E0785" w14:textId="77777777" w:rsidR="004046D6" w:rsidRPr="004F1EC1" w:rsidRDefault="004046D6" w:rsidP="004046D6">
            <w:pPr>
              <w:spacing w:before="0" w:line="240" w:lineRule="auto"/>
              <w:ind w:left="745" w:hanging="567"/>
              <w:rPr>
                <w:rFonts w:cs="Arial"/>
                <w:lang w:val="it-IT"/>
              </w:rPr>
            </w:pPr>
          </w:p>
          <w:p w14:paraId="59235B06" w14:textId="77777777" w:rsidR="004046D6" w:rsidRPr="004F1EC1" w:rsidRDefault="004046D6" w:rsidP="004046D6">
            <w:pPr>
              <w:pStyle w:val="ListParagraph"/>
              <w:numPr>
                <w:ilvl w:val="0"/>
                <w:numId w:val="27"/>
              </w:numPr>
              <w:ind w:left="745" w:hanging="567"/>
              <w:contextualSpacing w:val="0"/>
              <w:jc w:val="both"/>
              <w:rPr>
                <w:rFonts w:ascii="Arial" w:hAnsi="Arial" w:cs="Arial"/>
                <w:lang w:val="it-IT"/>
              </w:rPr>
            </w:pPr>
            <w:r>
              <w:rPr>
                <w:rFonts w:ascii="Arial" w:eastAsia="Arial" w:hAnsi="Arial" w:cs="Arial"/>
                <w:lang w:bidi="et-EE"/>
              </w:rPr>
              <w:t>andma ERGO-le asjakohased kontrolli- ja auditeerimisõigused, et võimaldada ERGO-l kindlaks teha, kas tarnija täidab neid kohustusi.</w:t>
            </w:r>
          </w:p>
          <w:p w14:paraId="3C67C9A0" w14:textId="77777777" w:rsidR="004046D6" w:rsidRPr="004F1EC1" w:rsidRDefault="004046D6" w:rsidP="004046D6">
            <w:pPr>
              <w:spacing w:before="0" w:line="240" w:lineRule="auto"/>
              <w:ind w:left="743" w:hanging="567"/>
              <w:rPr>
                <w:rFonts w:cs="Arial"/>
                <w:lang w:val="it-IT"/>
              </w:rPr>
            </w:pPr>
          </w:p>
          <w:p w14:paraId="68ED3042" w14:textId="77777777" w:rsidR="005B0001" w:rsidRDefault="005B0001" w:rsidP="005B0001">
            <w:pPr>
              <w:spacing w:before="0" w:line="240" w:lineRule="auto"/>
              <w:rPr>
                <w:rFonts w:cs="Arial"/>
                <w:lang w:val="lt-LT"/>
              </w:rPr>
            </w:pPr>
          </w:p>
          <w:p w14:paraId="4A1E23E1" w14:textId="77777777" w:rsidR="005B0001" w:rsidRPr="005B0001" w:rsidRDefault="005B0001" w:rsidP="005B0001">
            <w:pPr>
              <w:spacing w:before="0" w:line="240" w:lineRule="auto"/>
              <w:rPr>
                <w:rFonts w:cs="Arial"/>
                <w:lang w:val="lt-LT"/>
              </w:rPr>
            </w:pPr>
          </w:p>
          <w:p w14:paraId="6E614437" w14:textId="77777777" w:rsidR="005B0001" w:rsidRPr="005B0001" w:rsidRDefault="005B0001" w:rsidP="005B0001">
            <w:pPr>
              <w:spacing w:before="0" w:line="240" w:lineRule="auto"/>
              <w:rPr>
                <w:rFonts w:cs="Arial"/>
                <w:lang w:val="lt-LT"/>
              </w:rPr>
            </w:pPr>
            <w:r w:rsidRPr="005B0001">
              <w:rPr>
                <w:rFonts w:cs="Arial"/>
                <w:lang w:val="lt-LT"/>
              </w:rPr>
              <w:t>Lisaks on tarnija kohustatud:</w:t>
            </w:r>
          </w:p>
          <w:p w14:paraId="2482F5EE" w14:textId="77777777" w:rsidR="005B0001" w:rsidRPr="005B0001" w:rsidRDefault="005B0001" w:rsidP="005B0001">
            <w:pPr>
              <w:spacing w:before="0" w:line="240" w:lineRule="auto"/>
              <w:rPr>
                <w:rFonts w:cs="Arial"/>
                <w:lang w:val="lt-LT"/>
              </w:rPr>
            </w:pPr>
          </w:p>
          <w:p w14:paraId="4F21805B" w14:textId="6A0CCAA3" w:rsidR="005B0001" w:rsidRPr="005B0001" w:rsidRDefault="005B0001" w:rsidP="005B0001">
            <w:pPr>
              <w:pStyle w:val="ListParagraph"/>
              <w:numPr>
                <w:ilvl w:val="0"/>
                <w:numId w:val="29"/>
              </w:numPr>
              <w:jc w:val="both"/>
              <w:rPr>
                <w:rFonts w:ascii="Arial" w:hAnsi="Arial" w:cs="Arial"/>
                <w:lang w:val="lt-LT"/>
              </w:rPr>
            </w:pPr>
            <w:r w:rsidRPr="005B0001">
              <w:rPr>
                <w:rFonts w:ascii="Arial" w:hAnsi="Arial" w:cs="Arial"/>
                <w:lang w:val="lt-LT"/>
              </w:rPr>
              <w:t>ERGO-le eelneva taotluse korral avalikustada, millised füüsilised ja/või juriidilised isikud omavad tarnijas otseselt või kaudselt kontrollivat osalust. Tarnija peab viivitamatult teatama kõikidest muudatustest. Tarnija peab teadaoleval määral avalikustama, kui need isikud või üksused on mingil viisil seotud ERGO töötajatega, kes on seotud konkreetse juhtumi puhul kohaldatava ostuprotsessiga. Nii ERGO kui ka tarnija peavad teise poole eelneva taotluse korral avalikustama teadaolevas ulatuses kõik olemasolevad või kavandatavad seosed ühe poole organite ja töötajate ning teise poole organite ja töötajate vahel, mis võivad mõjutada konkreetse juhtumi suhtes kohaldatavat ostuprotsessi.</w:t>
            </w:r>
          </w:p>
          <w:p w14:paraId="6E57A641" w14:textId="77777777" w:rsidR="005B0001" w:rsidRPr="005B0001" w:rsidRDefault="005B0001" w:rsidP="005B0001">
            <w:pPr>
              <w:spacing w:before="0" w:line="240" w:lineRule="auto"/>
              <w:rPr>
                <w:rFonts w:cs="Arial"/>
                <w:lang w:val="lt-LT"/>
              </w:rPr>
            </w:pPr>
          </w:p>
          <w:p w14:paraId="3DDBC28C" w14:textId="2D482E87" w:rsidR="005B0001" w:rsidRPr="005B0001" w:rsidRDefault="005B0001" w:rsidP="005B0001">
            <w:pPr>
              <w:pStyle w:val="ListParagraph"/>
              <w:numPr>
                <w:ilvl w:val="0"/>
                <w:numId w:val="29"/>
              </w:numPr>
              <w:jc w:val="both"/>
              <w:rPr>
                <w:rFonts w:ascii="Arial" w:hAnsi="Arial" w:cs="Arial"/>
                <w:lang w:val="lt-LT"/>
              </w:rPr>
            </w:pPr>
            <w:r w:rsidRPr="005B0001">
              <w:rPr>
                <w:rFonts w:ascii="Arial" w:hAnsi="Arial" w:cs="Arial"/>
                <w:lang w:val="lt-LT"/>
              </w:rPr>
              <w:t>tagama, et tarnija, tema juhtorganid, ametnikud ja töötajad ning kõik kolmandad isikud, kes töötavad tarnija heaks ja on seotud käesoleva lepinguga (edaspidi kõik „asjaomased isikud“), on teadlikud ja järgivad korruptsiooni, sealhulgas soodustuste andmist ja vastuvõtmist ning altkäemaksu käsitlevaid kehtivaid õigusnorme kõikides riikides, kus tarnija või nimetatud asjaomased isikud tegutsevad või hakkavad tegutsema, ning järgivad neid.</w:t>
            </w:r>
          </w:p>
          <w:p w14:paraId="711A00AB" w14:textId="77777777" w:rsidR="004046D6" w:rsidRPr="005B0001" w:rsidRDefault="004046D6" w:rsidP="005B0001">
            <w:pPr>
              <w:spacing w:before="0" w:line="240" w:lineRule="auto"/>
              <w:rPr>
                <w:rFonts w:cs="Arial"/>
                <w:lang w:val="lt-LT"/>
              </w:rPr>
            </w:pPr>
          </w:p>
          <w:p w14:paraId="0D98A02D" w14:textId="77777777" w:rsidR="004046D6" w:rsidRDefault="004046D6" w:rsidP="005B0001">
            <w:pPr>
              <w:spacing w:before="0" w:line="240" w:lineRule="auto"/>
              <w:rPr>
                <w:rFonts w:eastAsiaTheme="minorEastAsia" w:cs="Arial"/>
                <w:color w:val="000000" w:themeColor="text1"/>
                <w:kern w:val="24"/>
              </w:rPr>
            </w:pPr>
          </w:p>
          <w:p w14:paraId="752ACF61" w14:textId="77777777" w:rsidR="005B0001" w:rsidRPr="005B0001" w:rsidRDefault="005B0001" w:rsidP="005B0001">
            <w:pPr>
              <w:spacing w:before="0" w:line="240" w:lineRule="auto"/>
              <w:rPr>
                <w:rFonts w:eastAsiaTheme="minorEastAsia" w:cs="Arial"/>
                <w:color w:val="000000" w:themeColor="text1"/>
                <w:kern w:val="24"/>
              </w:rPr>
            </w:pPr>
          </w:p>
          <w:p w14:paraId="3345A229" w14:textId="77777777" w:rsidR="004046D6" w:rsidRPr="00D11FA4" w:rsidRDefault="004046D6" w:rsidP="004046D6">
            <w:pPr>
              <w:spacing w:before="0" w:line="240" w:lineRule="auto"/>
              <w:rPr>
                <w:rFonts w:eastAsiaTheme="minorEastAsia"/>
                <w:color w:val="000000" w:themeColor="text1"/>
                <w:kern w:val="24"/>
              </w:rPr>
            </w:pPr>
            <w:r>
              <w:rPr>
                <w:rFonts w:eastAsiaTheme="minorEastAsia"/>
                <w:color w:val="000000" w:themeColor="text1"/>
                <w:kern w:val="24"/>
                <w:lang w:bidi="et-EE"/>
              </w:rPr>
              <w:t xml:space="preserve">Punktis 2 sätestatud tarnija kohustused on tarnija peamised lepingulised kohustused, mille rikkumine on ERGO-le või temaga seotud äriühingule vastavalt AktG paragrahvile 15 jj mõjuvaks põhjuseks lõpetada kehtivad lepingud sellest ette teatamata.  </w:t>
            </w:r>
          </w:p>
          <w:p w14:paraId="2390CA0E" w14:textId="77777777" w:rsidR="004046D6" w:rsidRPr="00B74180" w:rsidRDefault="004046D6" w:rsidP="005B0001">
            <w:pPr>
              <w:pStyle w:val="BodyText"/>
              <w:spacing w:line="240" w:lineRule="auto"/>
              <w:rPr>
                <w:b/>
                <w:sz w:val="20"/>
                <w:szCs w:val="20"/>
              </w:rPr>
            </w:pPr>
          </w:p>
        </w:tc>
      </w:tr>
      <w:tr w:rsidR="004046D6" w:rsidRPr="000B6E47" w14:paraId="34EDAA09" w14:textId="67D8BC49" w:rsidTr="2953A957">
        <w:tc>
          <w:tcPr>
            <w:tcW w:w="2465" w:type="pct"/>
            <w:shd w:val="clear" w:color="auto" w:fill="auto"/>
          </w:tcPr>
          <w:p w14:paraId="5ACF670C" w14:textId="77777777" w:rsidR="004046D6" w:rsidRPr="00B74180" w:rsidRDefault="004046D6" w:rsidP="004046D6">
            <w:pPr>
              <w:spacing w:before="0"/>
              <w:ind w:left="461" w:hanging="461"/>
              <w:rPr>
                <w:b/>
                <w:snapToGrid w:val="0"/>
              </w:rPr>
            </w:pPr>
          </w:p>
          <w:p w14:paraId="649E22A7" w14:textId="5FB26B68" w:rsidR="004046D6" w:rsidRPr="00E252A1" w:rsidRDefault="004046D6" w:rsidP="004046D6">
            <w:pPr>
              <w:spacing w:before="0"/>
              <w:ind w:left="461" w:hanging="461"/>
              <w:rPr>
                <w:b/>
                <w:snapToGrid w:val="0"/>
                <w:lang w:val="en-GB"/>
              </w:rPr>
            </w:pPr>
            <w:r w:rsidRPr="00607594">
              <w:rPr>
                <w:b/>
                <w:snapToGrid w:val="0"/>
                <w:lang w:val="en-GB"/>
              </w:rPr>
              <w:t>3.    Miscellaneous</w:t>
            </w:r>
          </w:p>
          <w:p w14:paraId="21A44CB7" w14:textId="77777777" w:rsidR="004046D6" w:rsidRPr="006672AF" w:rsidRDefault="004046D6" w:rsidP="004046D6">
            <w:pPr>
              <w:spacing w:before="0" w:line="240" w:lineRule="auto"/>
              <w:rPr>
                <w:b/>
                <w:lang w:val="en-US"/>
              </w:rPr>
            </w:pPr>
          </w:p>
          <w:p w14:paraId="60E2D9BC" w14:textId="12027079" w:rsidR="004046D6" w:rsidRDefault="004046D6" w:rsidP="004046D6">
            <w:pPr>
              <w:spacing w:before="0" w:line="240" w:lineRule="auto"/>
              <w:rPr>
                <w:lang w:val="en-US"/>
              </w:rPr>
            </w:pPr>
            <w:r>
              <w:rPr>
                <w:lang w:val="en-GB"/>
              </w:rPr>
              <w:t>In case of any discrepancies between the English and the local translated version of this agreement, the English version shall prevail.</w:t>
            </w:r>
          </w:p>
          <w:p w14:paraId="579F411E" w14:textId="77777777" w:rsidR="004046D6" w:rsidRDefault="004046D6" w:rsidP="004046D6">
            <w:pPr>
              <w:spacing w:before="0" w:line="240" w:lineRule="auto"/>
              <w:rPr>
                <w:lang w:val="en-US"/>
              </w:rPr>
            </w:pPr>
          </w:p>
          <w:p w14:paraId="371FDF79" w14:textId="444DB09F" w:rsidR="004046D6" w:rsidRDefault="004046D6" w:rsidP="004046D6">
            <w:pPr>
              <w:spacing w:before="0" w:line="240" w:lineRule="auto"/>
              <w:rPr>
                <w:lang w:val="en-US"/>
              </w:rPr>
            </w:pPr>
            <w:r w:rsidRPr="001139BE">
              <w:rPr>
                <w:lang w:val="en-US"/>
              </w:rPr>
              <w:t xml:space="preserve">Amendments and supplements to this </w:t>
            </w:r>
            <w:r>
              <w:rPr>
                <w:lang w:val="en-US"/>
              </w:rPr>
              <w:t>agreement</w:t>
            </w:r>
            <w:r w:rsidRPr="001139BE">
              <w:rPr>
                <w:lang w:val="en-US"/>
              </w:rPr>
              <w:t xml:space="preserve"> </w:t>
            </w:r>
            <w:r>
              <w:rPr>
                <w:lang w:val="en-US"/>
              </w:rPr>
              <w:t xml:space="preserve">must </w:t>
            </w:r>
            <w:r w:rsidRPr="001139BE">
              <w:rPr>
                <w:lang w:val="en-US"/>
              </w:rPr>
              <w:t xml:space="preserve">be made in writing in order to be valid. This shall also apply to any amendment of this requirement for written form. </w:t>
            </w:r>
          </w:p>
          <w:p w14:paraId="3A833EB7" w14:textId="77777777" w:rsidR="004046D6" w:rsidRPr="001139BE" w:rsidRDefault="004046D6" w:rsidP="004046D6">
            <w:pPr>
              <w:spacing w:before="0" w:line="240" w:lineRule="auto"/>
              <w:rPr>
                <w:lang w:val="en-US"/>
              </w:rPr>
            </w:pPr>
          </w:p>
          <w:p w14:paraId="595A09BF" w14:textId="5CC1A2D9" w:rsidR="004046D6" w:rsidRDefault="004046D6" w:rsidP="004046D6">
            <w:pPr>
              <w:tabs>
                <w:tab w:val="left" w:pos="6480"/>
              </w:tabs>
              <w:spacing w:before="0" w:line="240" w:lineRule="auto"/>
              <w:rPr>
                <w:lang w:val="en-GB"/>
              </w:rPr>
            </w:pPr>
            <w:r w:rsidRPr="008B443E">
              <w:rPr>
                <w:lang w:val="en-GB"/>
              </w:rPr>
              <w:t xml:space="preserve">This </w:t>
            </w:r>
            <w:r>
              <w:rPr>
                <w:lang w:val="en-GB"/>
              </w:rPr>
              <w:t>agreement</w:t>
            </w:r>
            <w:r w:rsidRPr="008B443E">
              <w:rPr>
                <w:lang w:val="en-GB"/>
              </w:rPr>
              <w:t xml:space="preserve"> and all rights and obligations stipulated therein are subject to the law of the Republic of </w:t>
            </w:r>
            <w:r>
              <w:rPr>
                <w:lang w:val="en-GB"/>
              </w:rPr>
              <w:t>Lithuania, Republic of Latvia and Republic of Estonia (depending on the place of exclusive jurisdiction of  ERGO company or its branch)</w:t>
            </w:r>
            <w:r w:rsidRPr="008B443E">
              <w:rPr>
                <w:lang w:val="en-GB"/>
              </w:rPr>
              <w:t xml:space="preserve">, with exclusion of the United Nations Convention on Contracts for the International Sale of Goods. </w:t>
            </w:r>
          </w:p>
          <w:p w14:paraId="0BA3B1CB" w14:textId="77777777" w:rsidR="004046D6" w:rsidRDefault="004046D6" w:rsidP="004046D6">
            <w:pPr>
              <w:tabs>
                <w:tab w:val="left" w:pos="6480"/>
              </w:tabs>
              <w:spacing w:before="0" w:line="240" w:lineRule="auto"/>
              <w:rPr>
                <w:lang w:val="en-GB"/>
              </w:rPr>
            </w:pPr>
          </w:p>
          <w:p w14:paraId="36DECF7F" w14:textId="796A0F9A" w:rsidR="004046D6" w:rsidRPr="00C63C79" w:rsidRDefault="004046D6" w:rsidP="004046D6">
            <w:pPr>
              <w:spacing w:before="0" w:line="240" w:lineRule="auto"/>
              <w:rPr>
                <w:lang w:val="en-US"/>
              </w:rPr>
            </w:pPr>
            <w:r w:rsidRPr="00C63C79">
              <w:rPr>
                <w:lang w:val="en-US"/>
              </w:rPr>
              <w:t xml:space="preserve">Should individual provisions of this </w:t>
            </w:r>
            <w:r>
              <w:rPr>
                <w:lang w:val="en-US"/>
              </w:rPr>
              <w:t>agreement</w:t>
            </w:r>
            <w:r w:rsidRPr="00C63C79">
              <w:rPr>
                <w:lang w:val="en-US"/>
              </w:rPr>
              <w:t xml:space="preserve"> be or become invalid or contain a loophole, the remaining provisions shall remain valid. In this case, the parties undertake to agree on a valid provision in place of the invalid provision which comes as close as possible to the economically intended meaning and purpose of the invalid provision in</w:t>
            </w:r>
            <w:r>
              <w:rPr>
                <w:lang w:val="en-US"/>
              </w:rPr>
              <w:t xml:space="preserve"> the context of the declaration.</w:t>
            </w:r>
          </w:p>
          <w:p w14:paraId="230C9645" w14:textId="77777777" w:rsidR="004046D6" w:rsidRPr="006672AF" w:rsidRDefault="004046D6" w:rsidP="004046D6">
            <w:pPr>
              <w:spacing w:before="0" w:line="240" w:lineRule="auto"/>
              <w:rPr>
                <w:b/>
                <w:lang w:val="en-US"/>
              </w:rPr>
            </w:pPr>
          </w:p>
        </w:tc>
        <w:tc>
          <w:tcPr>
            <w:tcW w:w="2535" w:type="pct"/>
          </w:tcPr>
          <w:p w14:paraId="477FFEB5" w14:textId="77777777" w:rsidR="004046D6" w:rsidRPr="00B74180" w:rsidRDefault="004046D6" w:rsidP="004046D6">
            <w:pPr>
              <w:spacing w:before="0"/>
              <w:ind w:left="461" w:hanging="461"/>
              <w:rPr>
                <w:b/>
                <w:snapToGrid w:val="0"/>
              </w:rPr>
            </w:pPr>
          </w:p>
          <w:p w14:paraId="145B38ED" w14:textId="77777777" w:rsidR="004046D6" w:rsidRPr="00D11FA4" w:rsidRDefault="004046D6" w:rsidP="004046D6">
            <w:pPr>
              <w:spacing w:before="0"/>
              <w:ind w:left="461" w:hanging="461"/>
              <w:rPr>
                <w:b/>
                <w:snapToGrid w:val="0"/>
              </w:rPr>
            </w:pPr>
            <w:r w:rsidRPr="00607594">
              <w:rPr>
                <w:b/>
                <w:snapToGrid w:val="0"/>
                <w:lang w:bidi="et-EE"/>
              </w:rPr>
              <w:t>3.    Muud sätted</w:t>
            </w:r>
          </w:p>
          <w:p w14:paraId="0AA3A767" w14:textId="77777777" w:rsidR="004046D6" w:rsidRPr="00D11FA4" w:rsidRDefault="004046D6" w:rsidP="004046D6">
            <w:pPr>
              <w:spacing w:before="0" w:line="240" w:lineRule="auto"/>
              <w:rPr>
                <w:b/>
              </w:rPr>
            </w:pPr>
          </w:p>
          <w:p w14:paraId="4359E2F3" w14:textId="77777777" w:rsidR="004046D6" w:rsidRPr="00D11FA4" w:rsidRDefault="004046D6" w:rsidP="004046D6">
            <w:pPr>
              <w:spacing w:before="0" w:line="240" w:lineRule="auto"/>
            </w:pPr>
            <w:r>
              <w:rPr>
                <w:lang w:bidi="et-EE"/>
              </w:rPr>
              <w:t>Kui kokkuleppe ingliskeelse ja kohaliku tõlkeversiooni vahel esineb lahknevusi, on ülimuslik ingliskeelne versioon.</w:t>
            </w:r>
          </w:p>
          <w:p w14:paraId="6A645785" w14:textId="77777777" w:rsidR="004046D6" w:rsidRPr="00D11FA4" w:rsidRDefault="004046D6" w:rsidP="004046D6">
            <w:pPr>
              <w:spacing w:before="0" w:line="240" w:lineRule="auto"/>
            </w:pPr>
          </w:p>
          <w:p w14:paraId="267E81F4" w14:textId="77777777" w:rsidR="004046D6" w:rsidRPr="00D11FA4" w:rsidRDefault="004046D6" w:rsidP="004046D6">
            <w:pPr>
              <w:spacing w:before="0" w:line="240" w:lineRule="auto"/>
            </w:pPr>
            <w:r w:rsidRPr="001139BE">
              <w:rPr>
                <w:lang w:bidi="et-EE"/>
              </w:rPr>
              <w:t xml:space="preserve">Käesoleva kokkuleppe muudatused ja täiendused tuleb teha kirjalikult, et need oleksid kehtivad. See kehtib ka kirjaliku vorminõude muutmise kohta. </w:t>
            </w:r>
          </w:p>
          <w:p w14:paraId="5E4C320C" w14:textId="77777777" w:rsidR="004046D6" w:rsidRDefault="004046D6" w:rsidP="004046D6">
            <w:pPr>
              <w:spacing w:before="0" w:line="240" w:lineRule="auto"/>
            </w:pPr>
          </w:p>
          <w:p w14:paraId="14EF97D2" w14:textId="77777777" w:rsidR="005B0001" w:rsidRPr="00D11FA4" w:rsidRDefault="005B0001" w:rsidP="004046D6">
            <w:pPr>
              <w:spacing w:before="0" w:line="240" w:lineRule="auto"/>
            </w:pPr>
          </w:p>
          <w:p w14:paraId="2C28F058" w14:textId="77777777" w:rsidR="004046D6" w:rsidRPr="00D11FA4" w:rsidRDefault="004046D6" w:rsidP="004046D6">
            <w:pPr>
              <w:tabs>
                <w:tab w:val="left" w:pos="6480"/>
              </w:tabs>
              <w:spacing w:before="0" w:line="240" w:lineRule="auto"/>
            </w:pPr>
            <w:r w:rsidRPr="008B443E">
              <w:rPr>
                <w:lang w:bidi="et-EE"/>
              </w:rPr>
              <w:t xml:space="preserve">Antud kokkulepe ning kõik selles sätestatud õigused ja kohustused on reguleeritud Leedu Vabariigi, Läti Vabariigi ja Eesti Vabariigi õigusega (sõltuvalt ERGO äriühingu või selle filiaali </w:t>
            </w:r>
            <w:r>
              <w:rPr>
                <w:lang w:bidi="et-EE"/>
              </w:rPr>
              <w:t>kohtualluvuse</w:t>
            </w:r>
            <w:r w:rsidRPr="008B443E">
              <w:rPr>
                <w:lang w:bidi="et-EE"/>
              </w:rPr>
              <w:t xml:space="preserve"> kohast), välja arvatud ÜRO konventsioon kaupade rahvusvaheliste ostu-müügi lepingute kohta. </w:t>
            </w:r>
          </w:p>
          <w:p w14:paraId="39992EB8" w14:textId="77777777" w:rsidR="004046D6" w:rsidRDefault="004046D6" w:rsidP="004046D6">
            <w:pPr>
              <w:tabs>
                <w:tab w:val="left" w:pos="6480"/>
              </w:tabs>
              <w:spacing w:before="0" w:line="240" w:lineRule="auto"/>
            </w:pPr>
          </w:p>
          <w:p w14:paraId="08498FAD" w14:textId="77777777" w:rsidR="005B0001" w:rsidRPr="00D11FA4" w:rsidRDefault="005B0001" w:rsidP="004046D6">
            <w:pPr>
              <w:tabs>
                <w:tab w:val="left" w:pos="6480"/>
              </w:tabs>
              <w:spacing w:before="0" w:line="240" w:lineRule="auto"/>
            </w:pPr>
          </w:p>
          <w:p w14:paraId="44A21F03" w14:textId="77777777" w:rsidR="004046D6" w:rsidRPr="00D11FA4" w:rsidRDefault="004046D6" w:rsidP="004046D6">
            <w:pPr>
              <w:spacing w:before="0" w:line="240" w:lineRule="auto"/>
            </w:pPr>
            <w:r w:rsidRPr="00C63C79">
              <w:rPr>
                <w:lang w:bidi="et-EE"/>
              </w:rPr>
              <w:t>Kui kokkuleppe üksikud sätted on kehtetud või muutuvad kehtetuks või sisaldavad puudujääke, jäävad ülejäänud sätted kehtima. Sellisel juhul kohustuvad pooled kokku leppima kehtetu sätte asemel kehtivas sättes, mis on võimalikult lähedane kehtetu sätte majanduslikult taotletavale tähendusele ja eesmärgile seoses tehtud avaldusega.</w:t>
            </w:r>
          </w:p>
          <w:p w14:paraId="2F0A5D64" w14:textId="77777777" w:rsidR="004046D6" w:rsidRPr="00B74180" w:rsidRDefault="004046D6" w:rsidP="004046D6">
            <w:pPr>
              <w:spacing w:before="0"/>
              <w:ind w:left="461" w:hanging="461"/>
              <w:rPr>
                <w:b/>
                <w:snapToGrid w:val="0"/>
              </w:rPr>
            </w:pPr>
          </w:p>
        </w:tc>
      </w:tr>
      <w:tr w:rsidR="001503CC" w:rsidRPr="00186AB5" w14:paraId="2128F058" w14:textId="5097B532" w:rsidTr="2953A957">
        <w:tc>
          <w:tcPr>
            <w:tcW w:w="5000" w:type="pct"/>
            <w:gridSpan w:val="2"/>
            <w:shd w:val="clear" w:color="auto" w:fill="auto"/>
          </w:tcPr>
          <w:p w14:paraId="3879CBC3" w14:textId="3714F745" w:rsidR="001503CC" w:rsidRPr="00922B32" w:rsidRDefault="001503CC" w:rsidP="001503CC">
            <w:pPr>
              <w:pStyle w:val="Textkrper21"/>
              <w:numPr>
                <w:ilvl w:val="12"/>
                <w:numId w:val="0"/>
              </w:numPr>
              <w:rPr>
                <w:rFonts w:cs="Arial"/>
                <w:b/>
                <w:sz w:val="22"/>
                <w:szCs w:val="22"/>
                <w:lang w:val="lt-LT"/>
              </w:rPr>
            </w:pPr>
            <w:bookmarkStart w:id="0" w:name="_Hlk150842195"/>
            <w:r w:rsidRPr="00EF5D5E">
              <w:rPr>
                <w:rFonts w:cs="Arial"/>
                <w:b/>
                <w:sz w:val="22"/>
                <w:szCs w:val="22"/>
              </w:rPr>
              <w:t xml:space="preserve">(Company name of </w:t>
            </w:r>
            <w:r>
              <w:rPr>
                <w:rFonts w:cs="Arial"/>
                <w:b/>
                <w:sz w:val="22"/>
                <w:szCs w:val="22"/>
              </w:rPr>
              <w:t>contractor</w:t>
            </w:r>
            <w:r w:rsidRPr="00EF5D5E">
              <w:rPr>
                <w:rFonts w:cs="Arial"/>
                <w:b/>
                <w:sz w:val="22"/>
                <w:szCs w:val="22"/>
              </w:rPr>
              <w:t>)</w:t>
            </w:r>
            <w:r>
              <w:rPr>
                <w:rFonts w:cs="Arial"/>
                <w:b/>
                <w:sz w:val="22"/>
                <w:szCs w:val="22"/>
              </w:rPr>
              <w:t xml:space="preserve"> / </w:t>
            </w:r>
            <w:r w:rsidRPr="00922B32">
              <w:rPr>
                <w:rFonts w:cs="Arial"/>
                <w:b/>
                <w:sz w:val="22"/>
                <w:szCs w:val="22"/>
                <w:lang w:val="lt-LT"/>
              </w:rPr>
              <w:t>(</w:t>
            </w:r>
            <w:r w:rsidR="00B54845" w:rsidRPr="00EF5D5E">
              <w:rPr>
                <w:rFonts w:cs="Arial"/>
                <w:b/>
                <w:sz w:val="22"/>
                <w:szCs w:val="22"/>
                <w:lang w:bidi="et-EE"/>
              </w:rPr>
              <w:t>Töövõtja ettevõtte nimetus</w:t>
            </w:r>
            <w:r w:rsidRPr="00922B32">
              <w:rPr>
                <w:rFonts w:cs="Arial"/>
                <w:b/>
                <w:sz w:val="22"/>
                <w:szCs w:val="22"/>
                <w:lang w:val="lt-LT"/>
              </w:rPr>
              <w:t>)</w:t>
            </w:r>
          </w:p>
          <w:p w14:paraId="338ABA74" w14:textId="77777777" w:rsidR="001503CC" w:rsidRPr="00EF5D5E" w:rsidRDefault="001503CC" w:rsidP="006478CB">
            <w:pPr>
              <w:pStyle w:val="Textkrper21"/>
              <w:numPr>
                <w:ilvl w:val="12"/>
                <w:numId w:val="0"/>
              </w:numPr>
              <w:rPr>
                <w:rFonts w:cs="Arial"/>
                <w:b/>
                <w:sz w:val="22"/>
                <w:szCs w:val="22"/>
              </w:rPr>
            </w:pPr>
          </w:p>
          <w:p w14:paraId="6C1FB9F9" w14:textId="77777777" w:rsidR="001503CC" w:rsidRPr="00EF5D5E" w:rsidRDefault="001503CC" w:rsidP="006478CB">
            <w:pPr>
              <w:pStyle w:val="Textkrper21"/>
              <w:numPr>
                <w:ilvl w:val="12"/>
                <w:numId w:val="0"/>
              </w:numPr>
              <w:rPr>
                <w:rFonts w:cs="Arial"/>
                <w:sz w:val="22"/>
                <w:szCs w:val="22"/>
              </w:rPr>
            </w:pPr>
          </w:p>
          <w:p w14:paraId="182E6A63" w14:textId="77777777" w:rsidR="001503CC" w:rsidRPr="00EF5D5E" w:rsidRDefault="001503CC" w:rsidP="006478CB">
            <w:pPr>
              <w:pStyle w:val="Textkrper21"/>
              <w:numPr>
                <w:ilvl w:val="12"/>
                <w:numId w:val="0"/>
              </w:numPr>
              <w:rPr>
                <w:rFonts w:cs="Arial"/>
                <w:sz w:val="22"/>
                <w:szCs w:val="22"/>
              </w:rPr>
            </w:pPr>
            <w:r w:rsidRPr="00EF5D5E">
              <w:rPr>
                <w:rFonts w:cs="Arial"/>
                <w:sz w:val="22"/>
                <w:szCs w:val="22"/>
              </w:rPr>
              <w:t>_________________________________</w:t>
            </w:r>
          </w:p>
          <w:p w14:paraId="47B42537" w14:textId="3AE3B939" w:rsidR="001503CC" w:rsidRPr="00922B32" w:rsidRDefault="001503CC" w:rsidP="001503CC">
            <w:pPr>
              <w:pStyle w:val="Textkrper21"/>
              <w:numPr>
                <w:ilvl w:val="12"/>
                <w:numId w:val="0"/>
              </w:numPr>
              <w:rPr>
                <w:rFonts w:cs="Arial"/>
                <w:sz w:val="22"/>
                <w:szCs w:val="22"/>
                <w:lang w:val="lt-LT"/>
              </w:rPr>
            </w:pPr>
            <w:r w:rsidRPr="00EF5D5E">
              <w:rPr>
                <w:rFonts w:cs="Arial"/>
                <w:sz w:val="22"/>
                <w:szCs w:val="22"/>
              </w:rPr>
              <w:t>(Place, Date)</w:t>
            </w:r>
            <w:r>
              <w:rPr>
                <w:rFonts w:cs="Arial"/>
                <w:sz w:val="22"/>
                <w:szCs w:val="22"/>
              </w:rPr>
              <w:t xml:space="preserve"> / </w:t>
            </w:r>
            <w:r w:rsidRPr="00922B32">
              <w:rPr>
                <w:rFonts w:cs="Arial"/>
                <w:sz w:val="22"/>
                <w:szCs w:val="22"/>
                <w:lang w:val="lt-LT"/>
              </w:rPr>
              <w:t>(</w:t>
            </w:r>
            <w:r w:rsidR="00B54845" w:rsidRPr="00EF5D5E">
              <w:rPr>
                <w:rFonts w:cs="Arial"/>
                <w:sz w:val="22"/>
                <w:szCs w:val="22"/>
                <w:lang w:bidi="et-EE"/>
              </w:rPr>
              <w:t>Koht, kuupäev</w:t>
            </w:r>
            <w:r w:rsidRPr="00922B32">
              <w:rPr>
                <w:rFonts w:cs="Arial"/>
                <w:sz w:val="22"/>
                <w:szCs w:val="22"/>
                <w:lang w:val="lt-LT"/>
              </w:rPr>
              <w:t>)</w:t>
            </w:r>
          </w:p>
          <w:p w14:paraId="6504933C" w14:textId="77777777" w:rsidR="001503CC" w:rsidRPr="00EF5D5E" w:rsidRDefault="001503CC" w:rsidP="006478CB">
            <w:pPr>
              <w:pStyle w:val="Textkrper21"/>
              <w:numPr>
                <w:ilvl w:val="12"/>
                <w:numId w:val="0"/>
              </w:numPr>
              <w:rPr>
                <w:rFonts w:cs="Arial"/>
                <w:sz w:val="22"/>
                <w:szCs w:val="22"/>
              </w:rPr>
            </w:pPr>
          </w:p>
          <w:p w14:paraId="7B913FFB" w14:textId="77777777" w:rsidR="001503CC" w:rsidRPr="00EF5D5E" w:rsidRDefault="001503CC" w:rsidP="006478CB">
            <w:pPr>
              <w:pStyle w:val="Textkrper21"/>
              <w:numPr>
                <w:ilvl w:val="12"/>
                <w:numId w:val="0"/>
              </w:numPr>
              <w:rPr>
                <w:rFonts w:cs="Arial"/>
                <w:sz w:val="22"/>
                <w:szCs w:val="22"/>
              </w:rPr>
            </w:pPr>
            <w:r w:rsidRPr="00EF5D5E">
              <w:rPr>
                <w:rFonts w:cs="Arial"/>
                <w:sz w:val="22"/>
                <w:szCs w:val="22"/>
              </w:rPr>
              <w:t>____________________________</w:t>
            </w:r>
            <w:r>
              <w:rPr>
                <w:rFonts w:cs="Arial"/>
                <w:sz w:val="22"/>
                <w:szCs w:val="22"/>
              </w:rPr>
              <w:t>____</w:t>
            </w:r>
            <w:r w:rsidRPr="00EF5D5E">
              <w:rPr>
                <w:rFonts w:cs="Arial"/>
                <w:sz w:val="22"/>
                <w:szCs w:val="22"/>
              </w:rPr>
              <w:t>_</w:t>
            </w:r>
          </w:p>
          <w:p w14:paraId="46FB1E2D" w14:textId="77777777" w:rsidR="00B54845" w:rsidRPr="00EF5D5E" w:rsidRDefault="001503CC" w:rsidP="00B54845">
            <w:pPr>
              <w:pStyle w:val="Textkrper21"/>
              <w:numPr>
                <w:ilvl w:val="12"/>
                <w:numId w:val="0"/>
              </w:numPr>
              <w:rPr>
                <w:rFonts w:cs="Arial"/>
                <w:sz w:val="22"/>
                <w:szCs w:val="22"/>
              </w:rPr>
            </w:pPr>
            <w:r w:rsidRPr="00EF5D5E">
              <w:rPr>
                <w:rFonts w:cs="Arial"/>
                <w:sz w:val="22"/>
                <w:szCs w:val="22"/>
              </w:rPr>
              <w:t>Signature(s)</w:t>
            </w:r>
            <w:r>
              <w:rPr>
                <w:rFonts w:cs="Arial"/>
                <w:sz w:val="22"/>
                <w:szCs w:val="22"/>
              </w:rPr>
              <w:t xml:space="preserve"> / </w:t>
            </w:r>
            <w:r w:rsidR="00B54845" w:rsidRPr="00EF5D5E">
              <w:rPr>
                <w:rFonts w:cs="Arial"/>
                <w:sz w:val="22"/>
                <w:szCs w:val="22"/>
                <w:lang w:bidi="et-EE"/>
              </w:rPr>
              <w:t>Allkiri/Allkirjad</w:t>
            </w:r>
          </w:p>
          <w:p w14:paraId="41AD83E3" w14:textId="77777777" w:rsidR="001503CC" w:rsidRPr="00EF5D5E" w:rsidRDefault="001503CC" w:rsidP="006478CB">
            <w:pPr>
              <w:pStyle w:val="Textkrper21"/>
              <w:numPr>
                <w:ilvl w:val="12"/>
                <w:numId w:val="0"/>
              </w:numPr>
              <w:rPr>
                <w:rFonts w:cs="Arial"/>
                <w:sz w:val="22"/>
                <w:szCs w:val="22"/>
              </w:rPr>
            </w:pPr>
          </w:p>
          <w:p w14:paraId="574B2B6A" w14:textId="77777777" w:rsidR="001503CC" w:rsidRPr="00EF5D5E" w:rsidRDefault="001503CC" w:rsidP="006478CB">
            <w:pPr>
              <w:pStyle w:val="Textkrper21"/>
              <w:numPr>
                <w:ilvl w:val="12"/>
                <w:numId w:val="0"/>
              </w:numPr>
              <w:rPr>
                <w:rFonts w:cs="Arial"/>
                <w:sz w:val="22"/>
                <w:szCs w:val="22"/>
              </w:rPr>
            </w:pPr>
            <w:r>
              <w:rPr>
                <w:rFonts w:cs="Arial"/>
                <w:sz w:val="22"/>
                <w:szCs w:val="22"/>
              </w:rPr>
              <w:t>____</w:t>
            </w:r>
            <w:r w:rsidRPr="00EF5D5E">
              <w:rPr>
                <w:rFonts w:cs="Arial"/>
                <w:sz w:val="22"/>
                <w:szCs w:val="22"/>
              </w:rPr>
              <w:t>_____________________________</w:t>
            </w:r>
          </w:p>
          <w:p w14:paraId="79CD5A38" w14:textId="2880EC37" w:rsidR="001503CC" w:rsidRPr="00922B32" w:rsidRDefault="001503CC" w:rsidP="001503CC">
            <w:pPr>
              <w:pStyle w:val="Textkrper21"/>
              <w:numPr>
                <w:ilvl w:val="12"/>
                <w:numId w:val="0"/>
              </w:numPr>
              <w:rPr>
                <w:rFonts w:cs="Arial"/>
                <w:sz w:val="22"/>
                <w:szCs w:val="22"/>
                <w:lang w:val="lt-LT"/>
              </w:rPr>
            </w:pPr>
            <w:r w:rsidRPr="00F23C5F">
              <w:rPr>
                <w:rFonts w:cs="Arial"/>
                <w:sz w:val="22"/>
                <w:szCs w:val="22"/>
              </w:rPr>
              <w:lastRenderedPageBreak/>
              <w:t xml:space="preserve"> (Name in block letters)</w:t>
            </w:r>
            <w:r>
              <w:rPr>
                <w:rFonts w:cs="Arial"/>
                <w:sz w:val="22"/>
                <w:szCs w:val="22"/>
              </w:rPr>
              <w:t xml:space="preserve"> / </w:t>
            </w:r>
            <w:r w:rsidRPr="00922B32">
              <w:rPr>
                <w:rFonts w:cs="Arial"/>
                <w:sz w:val="22"/>
                <w:szCs w:val="22"/>
                <w:lang w:val="lt-LT"/>
              </w:rPr>
              <w:t>(</w:t>
            </w:r>
            <w:r w:rsidR="00B54845" w:rsidRPr="00F23C5F">
              <w:rPr>
                <w:rFonts w:cs="Arial"/>
                <w:sz w:val="22"/>
                <w:szCs w:val="22"/>
                <w:lang w:bidi="et-EE"/>
              </w:rPr>
              <w:t>Nimi trükitähtedega</w:t>
            </w:r>
            <w:r w:rsidRPr="00922B32">
              <w:rPr>
                <w:rFonts w:cs="Arial"/>
                <w:sz w:val="22"/>
                <w:szCs w:val="22"/>
                <w:lang w:val="lt-LT"/>
              </w:rPr>
              <w:t>)</w:t>
            </w:r>
          </w:p>
          <w:p w14:paraId="0EBA468E" w14:textId="77777777" w:rsidR="001503CC" w:rsidRPr="00EF5D5E" w:rsidRDefault="001503CC" w:rsidP="001503CC">
            <w:pPr>
              <w:pStyle w:val="Textkrper21"/>
              <w:numPr>
                <w:ilvl w:val="12"/>
                <w:numId w:val="0"/>
              </w:numPr>
              <w:rPr>
                <w:rFonts w:cs="Arial"/>
                <w:b/>
                <w:sz w:val="22"/>
                <w:szCs w:val="22"/>
              </w:rPr>
            </w:pPr>
          </w:p>
        </w:tc>
      </w:tr>
      <w:bookmarkEnd w:id="0"/>
      <w:tr w:rsidR="001503CC" w:rsidRPr="00186AB5" w14:paraId="7ABBB1C9" w14:textId="4CA61150" w:rsidTr="2953A957">
        <w:tc>
          <w:tcPr>
            <w:tcW w:w="5000" w:type="pct"/>
            <w:gridSpan w:val="2"/>
            <w:shd w:val="clear" w:color="auto" w:fill="auto"/>
          </w:tcPr>
          <w:p w14:paraId="434478E1" w14:textId="77777777" w:rsidR="001503CC" w:rsidRPr="00EF5D5E" w:rsidRDefault="001503CC" w:rsidP="006478CB">
            <w:pPr>
              <w:pStyle w:val="Textkrper21"/>
              <w:numPr>
                <w:ilvl w:val="12"/>
                <w:numId w:val="0"/>
              </w:numPr>
              <w:rPr>
                <w:rFonts w:cs="Arial"/>
                <w:b/>
                <w:sz w:val="22"/>
                <w:szCs w:val="22"/>
              </w:rPr>
            </w:pPr>
            <w:r>
              <w:rPr>
                <w:rFonts w:cs="Arial"/>
                <w:b/>
                <w:sz w:val="22"/>
                <w:szCs w:val="22"/>
              </w:rPr>
              <w:lastRenderedPageBreak/>
              <w:t xml:space="preserve">ERGO </w:t>
            </w:r>
          </w:p>
          <w:p w14:paraId="34DE1A11" w14:textId="77777777" w:rsidR="001503CC" w:rsidRPr="00EF5D5E" w:rsidRDefault="001503CC" w:rsidP="006478CB">
            <w:pPr>
              <w:pStyle w:val="Textkrper21"/>
              <w:numPr>
                <w:ilvl w:val="12"/>
                <w:numId w:val="0"/>
              </w:numPr>
              <w:rPr>
                <w:rFonts w:cs="Arial"/>
                <w:b/>
                <w:sz w:val="22"/>
                <w:szCs w:val="22"/>
              </w:rPr>
            </w:pPr>
          </w:p>
          <w:p w14:paraId="385FD7E6"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1B71D6B6" w14:textId="1BC298D5" w:rsidR="001503CC" w:rsidRPr="00B54845" w:rsidRDefault="001503CC" w:rsidP="001503CC">
            <w:pPr>
              <w:pStyle w:val="Textkrper21"/>
              <w:numPr>
                <w:ilvl w:val="12"/>
                <w:numId w:val="0"/>
              </w:numPr>
              <w:rPr>
                <w:rFonts w:cs="Arial"/>
                <w:sz w:val="22"/>
                <w:szCs w:val="22"/>
              </w:rPr>
            </w:pPr>
            <w:r w:rsidRPr="00EF5D5E">
              <w:rPr>
                <w:rFonts w:cs="Arial"/>
                <w:sz w:val="22"/>
                <w:szCs w:val="22"/>
              </w:rPr>
              <w:t>(Place, Date)</w:t>
            </w:r>
            <w:r>
              <w:rPr>
                <w:rFonts w:cs="Arial"/>
                <w:sz w:val="22"/>
                <w:szCs w:val="22"/>
              </w:rPr>
              <w:t xml:space="preserve"> / </w:t>
            </w:r>
            <w:r w:rsidRPr="00922B32">
              <w:rPr>
                <w:rFonts w:cs="Arial"/>
                <w:sz w:val="22"/>
                <w:szCs w:val="22"/>
                <w:lang w:val="lt-LT"/>
              </w:rPr>
              <w:t>(</w:t>
            </w:r>
            <w:r w:rsidR="00B54845" w:rsidRPr="00EF5D5E">
              <w:rPr>
                <w:rFonts w:cs="Arial"/>
                <w:sz w:val="22"/>
                <w:szCs w:val="22"/>
                <w:lang w:bidi="et-EE"/>
              </w:rPr>
              <w:t>Koht, kuupäev</w:t>
            </w:r>
            <w:r w:rsidRPr="00922B32">
              <w:rPr>
                <w:rFonts w:cs="Arial"/>
                <w:sz w:val="22"/>
                <w:szCs w:val="22"/>
                <w:lang w:val="lt-LT"/>
              </w:rPr>
              <w:t>)</w:t>
            </w:r>
          </w:p>
          <w:p w14:paraId="7946D184" w14:textId="77777777" w:rsidR="001503CC" w:rsidRPr="00EF5D5E" w:rsidRDefault="001503CC" w:rsidP="006478CB">
            <w:pPr>
              <w:pStyle w:val="Textkrper21"/>
              <w:numPr>
                <w:ilvl w:val="12"/>
                <w:numId w:val="0"/>
              </w:numPr>
              <w:rPr>
                <w:rFonts w:cs="Arial"/>
                <w:sz w:val="22"/>
                <w:szCs w:val="22"/>
              </w:rPr>
            </w:pPr>
          </w:p>
          <w:p w14:paraId="4FEA6DAB"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5B69F7BA" w14:textId="4B6F55BD" w:rsidR="001503CC" w:rsidRPr="00922B32" w:rsidRDefault="001503CC" w:rsidP="001503CC">
            <w:pPr>
              <w:pStyle w:val="Textkrper21"/>
              <w:numPr>
                <w:ilvl w:val="12"/>
                <w:numId w:val="0"/>
              </w:numPr>
              <w:rPr>
                <w:rFonts w:cs="Arial"/>
                <w:sz w:val="22"/>
                <w:szCs w:val="22"/>
                <w:lang w:val="lt-LT"/>
              </w:rPr>
            </w:pPr>
            <w:r w:rsidRPr="00EF5D5E">
              <w:rPr>
                <w:rFonts w:cs="Arial"/>
                <w:sz w:val="22"/>
                <w:szCs w:val="22"/>
              </w:rPr>
              <w:t>Signature(s)</w:t>
            </w:r>
            <w:r>
              <w:rPr>
                <w:rFonts w:cs="Arial"/>
                <w:sz w:val="22"/>
                <w:szCs w:val="22"/>
              </w:rPr>
              <w:t xml:space="preserve"> /</w:t>
            </w:r>
            <w:r w:rsidR="00B54845" w:rsidRPr="00F23C5F">
              <w:rPr>
                <w:rFonts w:cs="Arial"/>
                <w:sz w:val="22"/>
                <w:szCs w:val="22"/>
                <w:lang w:bidi="et-EE"/>
              </w:rPr>
              <w:t xml:space="preserve"> </w:t>
            </w:r>
            <w:r w:rsidR="00B54845" w:rsidRPr="00EF5D5E">
              <w:rPr>
                <w:rFonts w:cs="Arial"/>
                <w:sz w:val="22"/>
                <w:szCs w:val="22"/>
                <w:lang w:bidi="et-EE"/>
              </w:rPr>
              <w:t>Allkiri/Allkirjad</w:t>
            </w:r>
          </w:p>
          <w:p w14:paraId="4E2DFA5A" w14:textId="77777777" w:rsidR="001503CC" w:rsidRDefault="001503CC" w:rsidP="006478CB">
            <w:pPr>
              <w:pStyle w:val="Textkrper21"/>
              <w:numPr>
                <w:ilvl w:val="12"/>
                <w:numId w:val="0"/>
              </w:numPr>
              <w:rPr>
                <w:rFonts w:cs="Arial"/>
                <w:sz w:val="22"/>
                <w:szCs w:val="22"/>
              </w:rPr>
            </w:pPr>
          </w:p>
          <w:p w14:paraId="51F24151" w14:textId="77777777" w:rsidR="001503CC" w:rsidRPr="00EF5D5E" w:rsidRDefault="001503CC" w:rsidP="001503CC">
            <w:pPr>
              <w:pStyle w:val="Textkrper21"/>
              <w:numPr>
                <w:ilvl w:val="12"/>
                <w:numId w:val="0"/>
              </w:numPr>
              <w:rPr>
                <w:rFonts w:cs="Arial"/>
                <w:sz w:val="22"/>
                <w:szCs w:val="22"/>
              </w:rPr>
            </w:pPr>
            <w:r w:rsidRPr="00EF5D5E">
              <w:rPr>
                <w:rFonts w:cs="Arial"/>
                <w:sz w:val="22"/>
                <w:szCs w:val="22"/>
              </w:rPr>
              <w:t>_________________________________</w:t>
            </w:r>
          </w:p>
          <w:p w14:paraId="54EA2B88" w14:textId="6F7E0E2A" w:rsidR="001503CC" w:rsidRPr="00EF5D5E" w:rsidRDefault="001503CC" w:rsidP="006478CB">
            <w:pPr>
              <w:pStyle w:val="Textkrper21"/>
              <w:numPr>
                <w:ilvl w:val="12"/>
                <w:numId w:val="0"/>
              </w:numPr>
              <w:rPr>
                <w:rFonts w:cs="Arial"/>
                <w:sz w:val="22"/>
                <w:szCs w:val="22"/>
              </w:rPr>
            </w:pPr>
          </w:p>
          <w:p w14:paraId="52C34F09" w14:textId="1C308BF8" w:rsidR="001503CC" w:rsidRDefault="001503CC" w:rsidP="001503CC">
            <w:pPr>
              <w:pStyle w:val="Textkrper21"/>
              <w:numPr>
                <w:ilvl w:val="12"/>
                <w:numId w:val="0"/>
              </w:numPr>
              <w:rPr>
                <w:rFonts w:cs="Arial"/>
                <w:b/>
                <w:sz w:val="22"/>
                <w:szCs w:val="22"/>
              </w:rPr>
            </w:pPr>
            <w:r w:rsidRPr="00F23C5F">
              <w:rPr>
                <w:rFonts w:cs="Arial"/>
                <w:sz w:val="22"/>
                <w:szCs w:val="22"/>
              </w:rPr>
              <w:t xml:space="preserve"> (Name in block letters)</w:t>
            </w:r>
            <w:r>
              <w:rPr>
                <w:rFonts w:cs="Arial"/>
                <w:sz w:val="22"/>
                <w:szCs w:val="22"/>
              </w:rPr>
              <w:t xml:space="preserve"> / </w:t>
            </w:r>
            <w:r w:rsidRPr="00922B32">
              <w:rPr>
                <w:rFonts w:cs="Arial"/>
                <w:sz w:val="22"/>
                <w:szCs w:val="22"/>
                <w:lang w:val="lt-LT"/>
              </w:rPr>
              <w:t>(</w:t>
            </w:r>
            <w:r w:rsidR="00B54845" w:rsidRPr="00F23C5F">
              <w:rPr>
                <w:rFonts w:cs="Arial"/>
                <w:sz w:val="22"/>
                <w:szCs w:val="22"/>
                <w:lang w:bidi="et-EE"/>
              </w:rPr>
              <w:t>Nimi trükitähtedega</w:t>
            </w:r>
            <w:r w:rsidRPr="00922B32">
              <w:rPr>
                <w:rFonts w:cs="Arial"/>
                <w:sz w:val="22"/>
                <w:szCs w:val="22"/>
                <w:lang w:val="lt-LT"/>
              </w:rPr>
              <w:t>)</w:t>
            </w:r>
          </w:p>
        </w:tc>
      </w:tr>
    </w:tbl>
    <w:p w14:paraId="29A6E021" w14:textId="77777777" w:rsidR="001D0BE6" w:rsidRPr="0040612C" w:rsidRDefault="001D0BE6" w:rsidP="001B742B"/>
    <w:sectPr w:rsidR="001D0BE6" w:rsidRPr="0040612C" w:rsidSect="00732EA5">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6FD0" w14:textId="77777777" w:rsidR="004F49E7" w:rsidRDefault="004F49E7">
      <w:r>
        <w:separator/>
      </w:r>
    </w:p>
  </w:endnote>
  <w:endnote w:type="continuationSeparator" w:id="0">
    <w:p w14:paraId="3F812780" w14:textId="77777777" w:rsidR="004F49E7" w:rsidRDefault="004F49E7">
      <w:r>
        <w:continuationSeparator/>
      </w:r>
    </w:p>
  </w:endnote>
  <w:endnote w:type="continuationNotice" w:id="1">
    <w:p w14:paraId="0852C8EF" w14:textId="77777777" w:rsidR="004F49E7" w:rsidRDefault="004F49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3458420B"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8EA7E7B"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7031066"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3F7B097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6E25DC0F"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4629B7AC"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49782A16" w:rsidR="00A86356" w:rsidRPr="00C64249" w:rsidRDefault="00A86356" w:rsidP="00A86356">
          <w:pPr>
            <w:pStyle w:val="Footer"/>
            <w:spacing w:before="60" w:after="60" w:line="240" w:lineRule="auto"/>
            <w:jc w:val="right"/>
            <w:rPr>
              <w:sz w:val="16"/>
              <w:szCs w:val="16"/>
            </w:rPr>
          </w:pPr>
        </w:p>
      </w:tc>
      <w:tc>
        <w:tcPr>
          <w:tcW w:w="533" w:type="dxa"/>
        </w:tcPr>
        <w:p w14:paraId="0C741D70" w14:textId="0E01542B"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608E3" w14:textId="77777777" w:rsidR="004F49E7" w:rsidRDefault="004F49E7">
      <w:r>
        <w:separator/>
      </w:r>
    </w:p>
  </w:footnote>
  <w:footnote w:type="continuationSeparator" w:id="0">
    <w:p w14:paraId="457E17F4" w14:textId="77777777" w:rsidR="004F49E7" w:rsidRDefault="004F49E7">
      <w:r>
        <w:continuationSeparator/>
      </w:r>
    </w:p>
  </w:footnote>
  <w:footnote w:type="continuationNotice" w:id="1">
    <w:p w14:paraId="21D550D7" w14:textId="77777777" w:rsidR="004F49E7" w:rsidRDefault="004F49E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D37009"/>
    <w:multiLevelType w:val="hybridMultilevel"/>
    <w:tmpl w:val="C4BE6002"/>
    <w:lvl w:ilvl="0" w:tplc="EF4825AC">
      <w:start w:val="350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9E2D5B"/>
    <w:multiLevelType w:val="hybridMultilevel"/>
    <w:tmpl w:val="7FFA324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3" w15:restartNumberingAfterBreak="0">
    <w:nsid w:val="547147FC"/>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4"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7"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9"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485F1E"/>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23"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5DC3B05"/>
    <w:multiLevelType w:val="hybridMultilevel"/>
    <w:tmpl w:val="5D7A950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63521274">
    <w:abstractNumId w:val="14"/>
  </w:num>
  <w:num w:numId="2" w16cid:durableId="304359796">
    <w:abstractNumId w:val="19"/>
  </w:num>
  <w:num w:numId="3" w16cid:durableId="494733899">
    <w:abstractNumId w:val="18"/>
  </w:num>
  <w:num w:numId="4" w16cid:durableId="30034473">
    <w:abstractNumId w:val="0"/>
  </w:num>
  <w:num w:numId="5" w16cid:durableId="374895768">
    <w:abstractNumId w:val="23"/>
  </w:num>
  <w:num w:numId="6" w16cid:durableId="1889874067">
    <w:abstractNumId w:val="4"/>
  </w:num>
  <w:num w:numId="7" w16cid:durableId="460809293">
    <w:abstractNumId w:val="26"/>
  </w:num>
  <w:num w:numId="8" w16cid:durableId="1691225300">
    <w:abstractNumId w:val="8"/>
  </w:num>
  <w:num w:numId="9" w16cid:durableId="1526675591">
    <w:abstractNumId w:val="15"/>
  </w:num>
  <w:num w:numId="10" w16cid:durableId="1277759707">
    <w:abstractNumId w:val="26"/>
  </w:num>
  <w:num w:numId="11" w16cid:durableId="2144611962">
    <w:abstractNumId w:val="21"/>
  </w:num>
  <w:num w:numId="12" w16cid:durableId="1500189693">
    <w:abstractNumId w:val="9"/>
  </w:num>
  <w:num w:numId="13" w16cid:durableId="842935131">
    <w:abstractNumId w:val="7"/>
  </w:num>
  <w:num w:numId="14" w16cid:durableId="1853058557">
    <w:abstractNumId w:val="2"/>
  </w:num>
  <w:num w:numId="15" w16cid:durableId="223109487">
    <w:abstractNumId w:val="5"/>
  </w:num>
  <w:num w:numId="16" w16cid:durableId="1464351340">
    <w:abstractNumId w:val="11"/>
  </w:num>
  <w:num w:numId="17" w16cid:durableId="1753820956">
    <w:abstractNumId w:val="3"/>
  </w:num>
  <w:num w:numId="18" w16cid:durableId="1207834703">
    <w:abstractNumId w:val="17"/>
  </w:num>
  <w:num w:numId="19" w16cid:durableId="990789065">
    <w:abstractNumId w:val="25"/>
  </w:num>
  <w:num w:numId="20" w16cid:durableId="1419132476">
    <w:abstractNumId w:val="16"/>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20"/>
  </w:num>
  <w:num w:numId="23" w16cid:durableId="1496413733">
    <w:abstractNumId w:val="1"/>
  </w:num>
  <w:num w:numId="24" w16cid:durableId="1141927121">
    <w:abstractNumId w:val="12"/>
  </w:num>
  <w:num w:numId="25" w16cid:durableId="1721396193">
    <w:abstractNumId w:val="6"/>
  </w:num>
  <w:num w:numId="26" w16cid:durableId="1599144106">
    <w:abstractNumId w:val="13"/>
  </w:num>
  <w:num w:numId="27" w16cid:durableId="1462265923">
    <w:abstractNumId w:val="22"/>
  </w:num>
  <w:num w:numId="28" w16cid:durableId="1823690818">
    <w:abstractNumId w:val="10"/>
  </w:num>
  <w:num w:numId="29" w16cid:durableId="184408409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C78"/>
    <w:rsid w:val="00022E39"/>
    <w:rsid w:val="000244F2"/>
    <w:rsid w:val="00026BCD"/>
    <w:rsid w:val="00027D8C"/>
    <w:rsid w:val="0003214B"/>
    <w:rsid w:val="00033534"/>
    <w:rsid w:val="00034107"/>
    <w:rsid w:val="00036427"/>
    <w:rsid w:val="00037959"/>
    <w:rsid w:val="000402A7"/>
    <w:rsid w:val="00040987"/>
    <w:rsid w:val="000420CE"/>
    <w:rsid w:val="0004261D"/>
    <w:rsid w:val="00046E0A"/>
    <w:rsid w:val="0004719E"/>
    <w:rsid w:val="00047C1D"/>
    <w:rsid w:val="00052323"/>
    <w:rsid w:val="000534E4"/>
    <w:rsid w:val="00060116"/>
    <w:rsid w:val="0006323C"/>
    <w:rsid w:val="0006352D"/>
    <w:rsid w:val="00065022"/>
    <w:rsid w:val="000651AD"/>
    <w:rsid w:val="000716E0"/>
    <w:rsid w:val="00072033"/>
    <w:rsid w:val="00072205"/>
    <w:rsid w:val="00072277"/>
    <w:rsid w:val="00073FB1"/>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0293E"/>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438F2"/>
    <w:rsid w:val="001503CC"/>
    <w:rsid w:val="001542B7"/>
    <w:rsid w:val="00156DCD"/>
    <w:rsid w:val="00157457"/>
    <w:rsid w:val="0016152B"/>
    <w:rsid w:val="00161A5B"/>
    <w:rsid w:val="0016338F"/>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32D4"/>
    <w:rsid w:val="001A56EA"/>
    <w:rsid w:val="001A6F0D"/>
    <w:rsid w:val="001A794F"/>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6AA3"/>
    <w:rsid w:val="0020729F"/>
    <w:rsid w:val="002107E6"/>
    <w:rsid w:val="0021300D"/>
    <w:rsid w:val="00213D26"/>
    <w:rsid w:val="00214BA0"/>
    <w:rsid w:val="00215287"/>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791"/>
    <w:rsid w:val="00244A7F"/>
    <w:rsid w:val="00244CDA"/>
    <w:rsid w:val="00245FA3"/>
    <w:rsid w:val="00252AEA"/>
    <w:rsid w:val="00252E43"/>
    <w:rsid w:val="002535C6"/>
    <w:rsid w:val="0025480B"/>
    <w:rsid w:val="00260FE5"/>
    <w:rsid w:val="00262BF6"/>
    <w:rsid w:val="0026335D"/>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46EC"/>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3E8F"/>
    <w:rsid w:val="003863C3"/>
    <w:rsid w:val="00386A71"/>
    <w:rsid w:val="00386BAE"/>
    <w:rsid w:val="00386D85"/>
    <w:rsid w:val="00392887"/>
    <w:rsid w:val="003933FD"/>
    <w:rsid w:val="00393EEF"/>
    <w:rsid w:val="00396288"/>
    <w:rsid w:val="003A0115"/>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46D6"/>
    <w:rsid w:val="0040612C"/>
    <w:rsid w:val="00411F80"/>
    <w:rsid w:val="0041362E"/>
    <w:rsid w:val="004151EA"/>
    <w:rsid w:val="00416CA2"/>
    <w:rsid w:val="00417997"/>
    <w:rsid w:val="004208F9"/>
    <w:rsid w:val="00422F52"/>
    <w:rsid w:val="0042480E"/>
    <w:rsid w:val="004264DD"/>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1CE5"/>
    <w:rsid w:val="00475B82"/>
    <w:rsid w:val="004813CD"/>
    <w:rsid w:val="0048291E"/>
    <w:rsid w:val="004857AC"/>
    <w:rsid w:val="00486C45"/>
    <w:rsid w:val="004933D9"/>
    <w:rsid w:val="004963F8"/>
    <w:rsid w:val="00496513"/>
    <w:rsid w:val="004A2692"/>
    <w:rsid w:val="004A40E8"/>
    <w:rsid w:val="004B3FE1"/>
    <w:rsid w:val="004B6AD2"/>
    <w:rsid w:val="004B74AE"/>
    <w:rsid w:val="004C1D0A"/>
    <w:rsid w:val="004C3A90"/>
    <w:rsid w:val="004C6B4A"/>
    <w:rsid w:val="004D2839"/>
    <w:rsid w:val="004D3C35"/>
    <w:rsid w:val="004D4213"/>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1EC1"/>
    <w:rsid w:val="004F2701"/>
    <w:rsid w:val="004F2F25"/>
    <w:rsid w:val="004F351D"/>
    <w:rsid w:val="004F3E7A"/>
    <w:rsid w:val="004F3ECE"/>
    <w:rsid w:val="004F4936"/>
    <w:rsid w:val="004F49E7"/>
    <w:rsid w:val="004F4AD8"/>
    <w:rsid w:val="004F7143"/>
    <w:rsid w:val="004F72E5"/>
    <w:rsid w:val="00505ACE"/>
    <w:rsid w:val="00506A2E"/>
    <w:rsid w:val="00510617"/>
    <w:rsid w:val="005122B3"/>
    <w:rsid w:val="0051384F"/>
    <w:rsid w:val="00515B41"/>
    <w:rsid w:val="00516A02"/>
    <w:rsid w:val="005176B3"/>
    <w:rsid w:val="00517934"/>
    <w:rsid w:val="005179DD"/>
    <w:rsid w:val="00521DED"/>
    <w:rsid w:val="00525E4A"/>
    <w:rsid w:val="0052615E"/>
    <w:rsid w:val="00540714"/>
    <w:rsid w:val="00540829"/>
    <w:rsid w:val="005442B3"/>
    <w:rsid w:val="00545DDA"/>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6C76"/>
    <w:rsid w:val="00577081"/>
    <w:rsid w:val="00580F90"/>
    <w:rsid w:val="00581B84"/>
    <w:rsid w:val="0058247E"/>
    <w:rsid w:val="005824D0"/>
    <w:rsid w:val="0058299E"/>
    <w:rsid w:val="005836C2"/>
    <w:rsid w:val="00586A00"/>
    <w:rsid w:val="0059030C"/>
    <w:rsid w:val="00591041"/>
    <w:rsid w:val="00591357"/>
    <w:rsid w:val="005926CC"/>
    <w:rsid w:val="005949AA"/>
    <w:rsid w:val="00594E03"/>
    <w:rsid w:val="005969DB"/>
    <w:rsid w:val="005B0001"/>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5B8D"/>
    <w:rsid w:val="00637B22"/>
    <w:rsid w:val="00641398"/>
    <w:rsid w:val="00641AC3"/>
    <w:rsid w:val="00642F67"/>
    <w:rsid w:val="00643DE5"/>
    <w:rsid w:val="0064555E"/>
    <w:rsid w:val="006456C2"/>
    <w:rsid w:val="00647031"/>
    <w:rsid w:val="006478CB"/>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465D"/>
    <w:rsid w:val="006C5CEA"/>
    <w:rsid w:val="006C7A72"/>
    <w:rsid w:val="006D0504"/>
    <w:rsid w:val="006D1392"/>
    <w:rsid w:val="006D1665"/>
    <w:rsid w:val="006D2ADA"/>
    <w:rsid w:val="006D3AE5"/>
    <w:rsid w:val="006D5068"/>
    <w:rsid w:val="006E14A8"/>
    <w:rsid w:val="006E2327"/>
    <w:rsid w:val="006E2E1F"/>
    <w:rsid w:val="006E3BD8"/>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3360"/>
    <w:rsid w:val="00725D99"/>
    <w:rsid w:val="007262C8"/>
    <w:rsid w:val="0073062C"/>
    <w:rsid w:val="00732EA5"/>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4B7"/>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5BFB"/>
    <w:rsid w:val="00886474"/>
    <w:rsid w:val="00887503"/>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AB2"/>
    <w:rsid w:val="00916081"/>
    <w:rsid w:val="00920024"/>
    <w:rsid w:val="0092142C"/>
    <w:rsid w:val="00922598"/>
    <w:rsid w:val="00922A15"/>
    <w:rsid w:val="009235C9"/>
    <w:rsid w:val="00925A53"/>
    <w:rsid w:val="00926069"/>
    <w:rsid w:val="00931A2E"/>
    <w:rsid w:val="00931C0B"/>
    <w:rsid w:val="009326F5"/>
    <w:rsid w:val="00934EE2"/>
    <w:rsid w:val="00936C26"/>
    <w:rsid w:val="00936D4B"/>
    <w:rsid w:val="00937C11"/>
    <w:rsid w:val="009424D8"/>
    <w:rsid w:val="00943A6A"/>
    <w:rsid w:val="00944157"/>
    <w:rsid w:val="009462FC"/>
    <w:rsid w:val="00947790"/>
    <w:rsid w:val="00947A56"/>
    <w:rsid w:val="00950237"/>
    <w:rsid w:val="0095148F"/>
    <w:rsid w:val="009514B9"/>
    <w:rsid w:val="00951AFD"/>
    <w:rsid w:val="009520A9"/>
    <w:rsid w:val="0095342C"/>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1626"/>
    <w:rsid w:val="00B54845"/>
    <w:rsid w:val="00B55CFC"/>
    <w:rsid w:val="00B56863"/>
    <w:rsid w:val="00B57285"/>
    <w:rsid w:val="00B63084"/>
    <w:rsid w:val="00B63EE7"/>
    <w:rsid w:val="00B64E0B"/>
    <w:rsid w:val="00B66AAC"/>
    <w:rsid w:val="00B70D55"/>
    <w:rsid w:val="00B74180"/>
    <w:rsid w:val="00B750CA"/>
    <w:rsid w:val="00B7616B"/>
    <w:rsid w:val="00B76634"/>
    <w:rsid w:val="00B771EC"/>
    <w:rsid w:val="00B80730"/>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05C"/>
    <w:rsid w:val="00BE3E8D"/>
    <w:rsid w:val="00BE64D7"/>
    <w:rsid w:val="00BF5DEC"/>
    <w:rsid w:val="00C00BB1"/>
    <w:rsid w:val="00C02399"/>
    <w:rsid w:val="00C0378C"/>
    <w:rsid w:val="00C05B8F"/>
    <w:rsid w:val="00C05F6D"/>
    <w:rsid w:val="00C06554"/>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3615"/>
    <w:rsid w:val="00D838E7"/>
    <w:rsid w:val="00D84C2C"/>
    <w:rsid w:val="00D87346"/>
    <w:rsid w:val="00D90B1E"/>
    <w:rsid w:val="00D918F6"/>
    <w:rsid w:val="00D94424"/>
    <w:rsid w:val="00D97B83"/>
    <w:rsid w:val="00DA234E"/>
    <w:rsid w:val="00DA595A"/>
    <w:rsid w:val="00DA6B1B"/>
    <w:rsid w:val="00DB24DF"/>
    <w:rsid w:val="00DB7A72"/>
    <w:rsid w:val="00DB7F7A"/>
    <w:rsid w:val="00DC0B10"/>
    <w:rsid w:val="00DC5452"/>
    <w:rsid w:val="00DD1D84"/>
    <w:rsid w:val="00DD27B0"/>
    <w:rsid w:val="00DD29EE"/>
    <w:rsid w:val="00DD54C2"/>
    <w:rsid w:val="00DE4750"/>
    <w:rsid w:val="00DF248E"/>
    <w:rsid w:val="00DF3FDE"/>
    <w:rsid w:val="00DF6CF6"/>
    <w:rsid w:val="00E0354A"/>
    <w:rsid w:val="00E06565"/>
    <w:rsid w:val="00E07150"/>
    <w:rsid w:val="00E10270"/>
    <w:rsid w:val="00E11BDC"/>
    <w:rsid w:val="00E15CFF"/>
    <w:rsid w:val="00E20091"/>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4E6C"/>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59C4"/>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70CA"/>
    <w:rsid w:val="00F376C0"/>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0FD7"/>
    <w:rsid w:val="00F925C9"/>
    <w:rsid w:val="00F926DA"/>
    <w:rsid w:val="00F948C9"/>
    <w:rsid w:val="00F951D5"/>
    <w:rsid w:val="00FA21FE"/>
    <w:rsid w:val="00FA2400"/>
    <w:rsid w:val="00FA4A61"/>
    <w:rsid w:val="00FA5ACC"/>
    <w:rsid w:val="00FA65D3"/>
    <w:rsid w:val="00FA7209"/>
    <w:rsid w:val="00FB1010"/>
    <w:rsid w:val="00FB1E69"/>
    <w:rsid w:val="00FB24B4"/>
    <w:rsid w:val="00FB4505"/>
    <w:rsid w:val="00FB631E"/>
    <w:rsid w:val="00FB7EF1"/>
    <w:rsid w:val="00FC062E"/>
    <w:rsid w:val="00FC06F4"/>
    <w:rsid w:val="00FC1BC4"/>
    <w:rsid w:val="00FC1F8E"/>
    <w:rsid w:val="00FC2C55"/>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953A957"/>
    <w:rsid w:val="2E2836D8"/>
    <w:rsid w:val="2FFF4A3A"/>
    <w:rsid w:val="37899909"/>
    <w:rsid w:val="3B44C24C"/>
    <w:rsid w:val="3C7A521C"/>
    <w:rsid w:val="3C7F294E"/>
    <w:rsid w:val="40740D39"/>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rsid w:val="005B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496579292">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30019042">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094952870D434B9F99551787E292D5" ma:contentTypeVersion="4" ma:contentTypeDescription="Create a new document." ma:contentTypeScope="" ma:versionID="2b60afe8056de63aa8e6094e93a46d1b">
  <xsd:schema xmlns:xsd="http://www.w3.org/2001/XMLSchema" xmlns:xs="http://www.w3.org/2001/XMLSchema" xmlns:p="http://schemas.microsoft.com/office/2006/metadata/properties" xmlns:ns2="1da9d3a7-b458-4f97-83a8-f7940a4c56f6" targetNamespace="http://schemas.microsoft.com/office/2006/metadata/properties" ma:root="true" ma:fieldsID="4393ad3305d88bc07dd377a2ea8a7e1a" ns2:_="">
    <xsd:import namespace="1da9d3a7-b458-4f97-83a8-f7940a4c56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TranslatedL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9d3a7-b458-4f97-83a8-f7940a4c5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TranslatedLang" ma:index="11" nillable="true" ma:displayName="Translated Language" ma:internalName="TranslatedLa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anslatedLang xmlns="1da9d3a7-b458-4f97-83a8-f7940a4c56f6" xsi:nil="true"/>
  </documentManagement>
</p:properties>
</file>

<file path=customXml/itemProps1.xml><?xml version="1.0" encoding="utf-8"?>
<ds:datastoreItem xmlns:ds="http://schemas.openxmlformats.org/officeDocument/2006/customXml" ds:itemID="{5F42E480-5F18-4306-BABC-58C4BD1AF3FF}">
  <ds:schemaRefs>
    <ds:schemaRef ds:uri="http://schemas.microsoft.com/sharepoint/v3/contenttype/forms"/>
  </ds:schemaRefs>
</ds:datastoreItem>
</file>

<file path=customXml/itemProps2.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3.xml><?xml version="1.0" encoding="utf-8"?>
<ds:datastoreItem xmlns:ds="http://schemas.openxmlformats.org/officeDocument/2006/customXml" ds:itemID="{604654C4-2ADC-4BF7-8C39-1836C75EE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9d3a7-b458-4f97-83a8-f7940a4c5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BFE05-E3AC-4D74-B4A3-FAF6E21D890C}">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da9d3a7-b458-4f97-83a8-f7940a4c56f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Template>
  <TotalTime>1</TotalTime>
  <Pages>4</Pages>
  <Words>1556</Words>
  <Characters>9027</Characters>
  <Application>Microsoft Office Word</Application>
  <DocSecurity>0</DocSecurity>
  <Lines>75</Lines>
  <Paragraphs>21</Paragraphs>
  <ScaleCrop>false</ScaleCrop>
  <Company>ITERGO</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Lea Pau</cp:lastModifiedBy>
  <cp:revision>2</cp:revision>
  <cp:lastPrinted>2015-11-20T09:05:00Z</cp:lastPrinted>
  <dcterms:created xsi:type="dcterms:W3CDTF">2025-05-08T10:33:00Z</dcterms:created>
  <dcterms:modified xsi:type="dcterms:W3CDTF">2025-05-08T10:33:00Z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0x01010062094952870D434B9F99551787E292D5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y fmtid="{D5CDD505-2E9C-101B-9397-08002B2CF9AE}" pid="12" name="MSIP_Label_8216c55b-98a9-4a56-8174-486c729da503_Enabled">
    <vt:lpwstr>true</vt:lpwstr>
  </property>
  <property fmtid="{D5CDD505-2E9C-101B-9397-08002B2CF9AE}" pid="13" name="MSIP_Label_8216c55b-98a9-4a56-8174-486c729da503_SetDate">
    <vt:lpwstr>2024-04-25T11:39:56Z</vt:lpwstr>
  </property>
  <property fmtid="{D5CDD505-2E9C-101B-9397-08002B2CF9AE}" pid="14" name="MSIP_Label_8216c55b-98a9-4a56-8174-486c729da503_Method">
    <vt:lpwstr>Standard</vt:lpwstr>
  </property>
  <property fmtid="{D5CDD505-2E9C-101B-9397-08002B2CF9AE}" pid="15" name="MSIP_Label_8216c55b-98a9-4a56-8174-486c729da503_Name">
    <vt:lpwstr>8216c55b-98a9-4a56-8174-486c729da503</vt:lpwstr>
  </property>
  <property fmtid="{D5CDD505-2E9C-101B-9397-08002B2CF9AE}" pid="16" name="MSIP_Label_8216c55b-98a9-4a56-8174-486c729da503_SiteId">
    <vt:lpwstr>a7f77151-e1e1-49d3-b6ac-261c0ef650f1</vt:lpwstr>
  </property>
  <property fmtid="{D5CDD505-2E9C-101B-9397-08002B2CF9AE}" pid="17" name="MSIP_Label_8216c55b-98a9-4a56-8174-486c729da503_ActionId">
    <vt:lpwstr>1a795d24-5cfe-4558-9bdb-54ca2b70153f</vt:lpwstr>
  </property>
  <property fmtid="{D5CDD505-2E9C-101B-9397-08002B2CF9AE}" pid="18" name="MSIP_Label_8216c55b-98a9-4a56-8174-486c729da503_ContentBits">
    <vt:lpwstr>0</vt:lpwstr>
  </property>
</Properties>
</file>